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07C" w:rsidRPr="00DA0A2D"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bookmarkStart w:id="0" w:name="_Toc234908926"/>
    </w:p>
    <w:p w:rsidR="00E6107C" w:rsidRPr="00DA0A2D"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p>
    <w:p w:rsidR="00E6107C" w:rsidRPr="00DA0A2D"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p>
    <w:p w:rsidR="00E6107C" w:rsidRPr="00DA0A2D"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r w:rsidRPr="00DA0A2D">
        <w:rPr>
          <w:rFonts w:ascii="华文中宋" w:eastAsia="华文中宋" w:hAnsi="华文中宋" w:hint="eastAsia"/>
          <w:b/>
          <w:bCs/>
          <w:sz w:val="72"/>
          <w:szCs w:val="72"/>
          <w14:shadow w14:blurRad="50800" w14:dist="38100" w14:dir="2700000" w14:sx="100000" w14:sy="100000" w14:kx="0" w14:ky="0" w14:algn="tl">
            <w14:srgbClr w14:val="000000">
              <w14:alpha w14:val="60000"/>
            </w14:srgbClr>
          </w14:shadow>
        </w:rPr>
        <w:t>上海财经大学商学院</w:t>
      </w:r>
    </w:p>
    <w:p w:rsidR="00E6107C" w:rsidRPr="00DA0A2D"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r w:rsidRPr="00DA0A2D">
        <w:rPr>
          <w:rFonts w:ascii="华文中宋" w:eastAsia="华文中宋" w:hAnsi="华文中宋" w:hint="eastAsia"/>
          <w:b/>
          <w:bCs/>
          <w:sz w:val="72"/>
          <w:szCs w:val="72"/>
          <w14:shadow w14:blurRad="50800" w14:dist="38100" w14:dir="2700000" w14:sx="100000" w14:sy="100000" w14:kx="0" w14:ky="0" w14:algn="tl">
            <w14:srgbClr w14:val="000000">
              <w14:alpha w14:val="60000"/>
            </w14:srgbClr>
          </w14:shadow>
        </w:rPr>
        <w:t>案例编写与管理办法</w:t>
      </w:r>
    </w:p>
    <w:p w:rsidR="00E6107C" w:rsidRPr="00DA0A2D"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r w:rsidRPr="00DA0A2D">
        <w:rPr>
          <w:rFonts w:ascii="华文中宋" w:eastAsia="华文中宋" w:hAnsi="华文中宋" w:hint="eastAsia"/>
          <w:b/>
          <w:bCs/>
          <w:sz w:val="72"/>
          <w:szCs w:val="72"/>
          <w14:shadow w14:blurRad="50800" w14:dist="38100" w14:dir="2700000" w14:sx="100000" w14:sy="100000" w14:kx="0" w14:ky="0" w14:algn="tl">
            <w14:srgbClr w14:val="000000">
              <w14:alpha w14:val="60000"/>
            </w14:srgbClr>
          </w14:shadow>
        </w:rPr>
        <w:t>（</w:t>
      </w:r>
      <w:r>
        <w:rPr>
          <w:rFonts w:ascii="华文中宋" w:eastAsia="华文中宋" w:hAnsi="华文中宋" w:hint="eastAsia"/>
          <w:b/>
          <w:bCs/>
          <w:sz w:val="72"/>
          <w:szCs w:val="72"/>
          <w14:shadow w14:blurRad="50800" w14:dist="38100" w14:dir="2700000" w14:sx="100000" w14:sy="100000" w14:kx="0" w14:ky="0" w14:algn="tl">
            <w14:srgbClr w14:val="000000">
              <w14:alpha w14:val="60000"/>
            </w14:srgbClr>
          </w14:shadow>
        </w:rPr>
        <w:t>试行</w:t>
      </w:r>
      <w:r w:rsidRPr="00DA0A2D">
        <w:rPr>
          <w:rFonts w:ascii="华文中宋" w:eastAsia="华文中宋" w:hAnsi="华文中宋" w:hint="eastAsia"/>
          <w:b/>
          <w:bCs/>
          <w:sz w:val="72"/>
          <w:szCs w:val="72"/>
          <w14:shadow w14:blurRad="50800" w14:dist="38100" w14:dir="2700000" w14:sx="100000" w14:sy="100000" w14:kx="0" w14:ky="0" w14:algn="tl">
            <w14:srgbClr w14:val="000000">
              <w14:alpha w14:val="60000"/>
            </w14:srgbClr>
          </w14:shadow>
        </w:rPr>
        <w:t>）</w:t>
      </w:r>
    </w:p>
    <w:p w:rsidR="00E6107C" w:rsidRPr="00DA0A2D"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p>
    <w:p w:rsidR="00E6107C" w:rsidRPr="00BF7FAF"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p>
    <w:p w:rsidR="00E6107C"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p>
    <w:p w:rsidR="00E6107C" w:rsidRPr="000C770C" w:rsidRDefault="00E6107C" w:rsidP="00E6107C">
      <w:pPr>
        <w:spacing w:line="360" w:lineRule="auto"/>
        <w:jc w:val="center"/>
        <w:rPr>
          <w:rFonts w:ascii="华文中宋" w:eastAsia="华文中宋" w:hAnsi="华文中宋"/>
          <w:b/>
          <w:bCs/>
          <w:sz w:val="72"/>
          <w:szCs w:val="72"/>
          <w14:shadow w14:blurRad="50800" w14:dist="38100" w14:dir="2700000" w14:sx="100000" w14:sy="100000" w14:kx="0" w14:ky="0" w14:algn="tl">
            <w14:srgbClr w14:val="000000">
              <w14:alpha w14:val="60000"/>
            </w14:srgbClr>
          </w14:shadow>
        </w:rPr>
      </w:pPr>
    </w:p>
    <w:p w:rsidR="00E6107C" w:rsidRPr="00DA0A2D" w:rsidRDefault="00E6107C" w:rsidP="00E6107C">
      <w:pPr>
        <w:spacing w:line="360" w:lineRule="auto"/>
        <w:jc w:val="center"/>
        <w:rPr>
          <w:rFonts w:ascii="华文中宋" w:eastAsia="华文中宋" w:hAnsi="华文中宋"/>
          <w:b/>
          <w:bCs/>
          <w:sz w:val="52"/>
          <w:szCs w:val="52"/>
          <w14:shadow w14:blurRad="50800" w14:dist="38100" w14:dir="2700000" w14:sx="100000" w14:sy="100000" w14:kx="0" w14:ky="0" w14:algn="tl">
            <w14:srgbClr w14:val="000000">
              <w14:alpha w14:val="60000"/>
            </w14:srgbClr>
          </w14:shadow>
        </w:rPr>
      </w:pPr>
      <w:r w:rsidRPr="00DA0A2D">
        <w:rPr>
          <w:rFonts w:ascii="华文中宋" w:eastAsia="华文中宋" w:hAnsi="华文中宋" w:hint="eastAsia"/>
          <w:b/>
          <w:bCs/>
          <w:sz w:val="52"/>
          <w:szCs w:val="52"/>
          <w14:shadow w14:blurRad="50800" w14:dist="38100" w14:dir="2700000" w14:sx="100000" w14:sy="100000" w14:kx="0" w14:ky="0" w14:algn="tl">
            <w14:srgbClr w14:val="000000">
              <w14:alpha w14:val="60000"/>
            </w14:srgbClr>
          </w14:shadow>
        </w:rPr>
        <w:t>(2012年</w:t>
      </w:r>
      <w:r>
        <w:rPr>
          <w:rFonts w:ascii="华文中宋" w:eastAsia="华文中宋" w:hAnsi="华文中宋" w:hint="eastAsia"/>
          <w:b/>
          <w:bCs/>
          <w:sz w:val="52"/>
          <w:szCs w:val="52"/>
          <w14:shadow w14:blurRad="50800" w14:dist="38100" w14:dir="2700000" w14:sx="100000" w14:sy="100000" w14:kx="0" w14:ky="0" w14:algn="tl">
            <w14:srgbClr w14:val="000000">
              <w14:alpha w14:val="60000"/>
            </w14:srgbClr>
          </w14:shadow>
        </w:rPr>
        <w:t>5</w:t>
      </w:r>
      <w:r w:rsidRPr="00DA0A2D">
        <w:rPr>
          <w:rFonts w:ascii="华文中宋" w:eastAsia="华文中宋" w:hAnsi="华文中宋" w:hint="eastAsia"/>
          <w:b/>
          <w:bCs/>
          <w:sz w:val="52"/>
          <w:szCs w:val="52"/>
          <w14:shadow w14:blurRad="50800" w14:dist="38100" w14:dir="2700000" w14:sx="100000" w14:sy="100000" w14:kx="0" w14:ky="0" w14:algn="tl">
            <w14:srgbClr w14:val="000000">
              <w14:alpha w14:val="60000"/>
            </w14:srgbClr>
          </w14:shadow>
        </w:rPr>
        <w:t>月)</w:t>
      </w:r>
    </w:p>
    <w:p w:rsidR="00E6107C" w:rsidRDefault="00E6107C" w:rsidP="00E6107C">
      <w:pPr>
        <w:pStyle w:val="2"/>
        <w:numPr>
          <w:ilvl w:val="0"/>
          <w:numId w:val="0"/>
        </w:numPr>
        <w:jc w:val="center"/>
        <w:rPr>
          <w:rFonts w:ascii="华文细黑" w:eastAsia="华文细黑" w:hAnsi="华文细黑"/>
          <w:bCs w:val="0"/>
          <w:kern w:val="0"/>
        </w:rPr>
      </w:pPr>
      <w:r>
        <w:rPr>
          <w:rFonts w:ascii="华文细黑" w:eastAsia="华文细黑" w:hAnsi="华文细黑" w:hint="eastAsia"/>
          <w:bCs w:val="0"/>
        </w:rPr>
        <w:lastRenderedPageBreak/>
        <w:t>上海财经大学商学院案例编写与管理办法（</w:t>
      </w:r>
      <w:bookmarkEnd w:id="0"/>
      <w:r>
        <w:rPr>
          <w:rFonts w:ascii="华文细黑" w:eastAsia="华文细黑" w:hAnsi="华文细黑" w:hint="eastAsia"/>
          <w:bCs w:val="0"/>
        </w:rPr>
        <w:t>试行）</w:t>
      </w:r>
    </w:p>
    <w:p w:rsidR="00E6107C" w:rsidRDefault="00E6107C" w:rsidP="00E6107C">
      <w:pPr>
        <w:numPr>
          <w:ilvl w:val="0"/>
          <w:numId w:val="1"/>
        </w:numPr>
        <w:tabs>
          <w:tab w:val="clear" w:pos="960"/>
          <w:tab w:val="num" w:pos="360"/>
        </w:tabs>
        <w:spacing w:line="480" w:lineRule="atLeast"/>
        <w:ind w:left="360" w:hanging="360"/>
        <w:rPr>
          <w:rFonts w:ascii="华文细黑" w:eastAsia="华文细黑" w:hAnsi="华文细黑"/>
          <w:b/>
          <w:sz w:val="24"/>
        </w:rPr>
      </w:pPr>
      <w:r>
        <w:rPr>
          <w:rFonts w:ascii="华文细黑" w:eastAsia="华文细黑" w:hAnsi="华文细黑" w:hint="eastAsia"/>
          <w:b/>
          <w:sz w:val="24"/>
        </w:rPr>
        <w:t>指导思想</w:t>
      </w:r>
    </w:p>
    <w:p w:rsidR="00E6107C" w:rsidRDefault="00E6107C" w:rsidP="00E6107C">
      <w:pPr>
        <w:spacing w:line="480" w:lineRule="atLeast"/>
        <w:rPr>
          <w:rFonts w:ascii="华文细黑" w:eastAsia="华文细黑" w:hAnsi="华文细黑"/>
          <w:sz w:val="24"/>
        </w:rPr>
      </w:pPr>
      <w:r>
        <w:rPr>
          <w:rFonts w:ascii="华文细黑" w:eastAsia="华文细黑" w:hAnsi="华文细黑" w:hint="eastAsia"/>
          <w:sz w:val="24"/>
        </w:rPr>
        <w:t xml:space="preserve">    案例建设是商学院动员全校范围内的教学资源实施的一项高起点的教学工程，其主要目标是，编写能反映中国企业经营管理典型经验的工商管理系列案例，以促进案例教学在MBA和EMBA教学中的广泛应用。</w:t>
      </w:r>
    </w:p>
    <w:p w:rsidR="00E6107C" w:rsidRDefault="00E6107C" w:rsidP="00E6107C">
      <w:pPr>
        <w:spacing w:line="480" w:lineRule="atLeast"/>
        <w:ind w:firstLine="435"/>
        <w:rPr>
          <w:rFonts w:ascii="华文细黑" w:eastAsia="华文细黑" w:hAnsi="华文细黑"/>
          <w:sz w:val="24"/>
        </w:rPr>
      </w:pPr>
      <w:r>
        <w:rPr>
          <w:rFonts w:ascii="华文细黑" w:eastAsia="华文细黑" w:hAnsi="华文细黑" w:hint="eastAsia"/>
          <w:sz w:val="24"/>
        </w:rPr>
        <w:t>案例建设的宗旨是，为课程教学服务，为提高课程教学质量服务。案例建设的原则是，根据课程有关章节的教学重点和难点编写案例。案例教学的目的是，促使学生在案例中学习，更好地理解和掌握相应的教学内容。</w:t>
      </w:r>
    </w:p>
    <w:p w:rsidR="00E6107C" w:rsidRDefault="00E6107C" w:rsidP="00E6107C">
      <w:pPr>
        <w:numPr>
          <w:ilvl w:val="0"/>
          <w:numId w:val="1"/>
        </w:numPr>
        <w:tabs>
          <w:tab w:val="clear" w:pos="960"/>
          <w:tab w:val="num" w:pos="360"/>
        </w:tabs>
        <w:spacing w:line="480" w:lineRule="atLeast"/>
        <w:ind w:left="360" w:hanging="360"/>
        <w:rPr>
          <w:rFonts w:ascii="华文细黑" w:eastAsia="华文细黑" w:hAnsi="华文细黑"/>
          <w:b/>
          <w:sz w:val="24"/>
        </w:rPr>
      </w:pPr>
      <w:r>
        <w:rPr>
          <w:rFonts w:ascii="华文细黑" w:eastAsia="华文细黑" w:hAnsi="华文细黑" w:hint="eastAsia"/>
          <w:b/>
          <w:sz w:val="24"/>
        </w:rPr>
        <w:t>建设目标</w:t>
      </w:r>
    </w:p>
    <w:p w:rsidR="00E6107C" w:rsidRPr="005155BA"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根据MBA培养计划，所有必修课和专业方向选修课都必须采用案例教学的方法，教学案例按照专业方向等结集组合，</w:t>
      </w:r>
      <w:proofErr w:type="gramStart"/>
      <w:r>
        <w:rPr>
          <w:rFonts w:ascii="华文细黑" w:eastAsia="华文细黑" w:hAnsi="华文细黑" w:hint="eastAsia"/>
          <w:sz w:val="24"/>
        </w:rPr>
        <w:t>形成商</w:t>
      </w:r>
      <w:proofErr w:type="gramEnd"/>
      <w:r>
        <w:rPr>
          <w:rFonts w:ascii="华文细黑" w:eastAsia="华文细黑" w:hAnsi="华文细黑" w:hint="eastAsia"/>
          <w:sz w:val="24"/>
        </w:rPr>
        <w:t>学案例集，案例编写包括MBA等专业学位项目所有专业课程所涉及的科目。</w:t>
      </w:r>
    </w:p>
    <w:p w:rsidR="00E6107C" w:rsidRDefault="00E6107C" w:rsidP="00E6107C">
      <w:pPr>
        <w:numPr>
          <w:ilvl w:val="0"/>
          <w:numId w:val="1"/>
        </w:numPr>
        <w:tabs>
          <w:tab w:val="clear" w:pos="960"/>
          <w:tab w:val="num" w:pos="360"/>
        </w:tabs>
        <w:spacing w:line="480" w:lineRule="atLeast"/>
        <w:ind w:left="360" w:hanging="360"/>
        <w:rPr>
          <w:rFonts w:ascii="华文细黑" w:eastAsia="华文细黑" w:hAnsi="华文细黑"/>
          <w:b/>
          <w:sz w:val="24"/>
        </w:rPr>
      </w:pPr>
      <w:r>
        <w:rPr>
          <w:rFonts w:ascii="华文细黑" w:eastAsia="华文细黑" w:hAnsi="华文细黑" w:hint="eastAsia"/>
          <w:b/>
          <w:sz w:val="24"/>
        </w:rPr>
        <w:t>建设方式和要求</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案例建设鼓励自主编写，</w:t>
      </w:r>
      <w:r w:rsidRPr="00806A68">
        <w:rPr>
          <w:rFonts w:ascii="华文细黑" w:eastAsia="华文细黑" w:hAnsi="华文细黑" w:hint="eastAsia"/>
          <w:sz w:val="24"/>
        </w:rPr>
        <w:t>案例可以国内具有典型性特征的企业为研究对象，当然也可以一些具有研究价值的国外企业</w:t>
      </w:r>
      <w:r>
        <w:rPr>
          <w:rFonts w:ascii="华文细黑" w:eastAsia="华文细黑" w:hAnsi="华文细黑" w:hint="eastAsia"/>
          <w:sz w:val="24"/>
        </w:rPr>
        <w:t>，尤其</w:t>
      </w:r>
      <w:r w:rsidRPr="00806A68">
        <w:rPr>
          <w:rFonts w:ascii="华文细黑" w:eastAsia="华文细黑" w:hAnsi="华文细黑" w:hint="eastAsia"/>
          <w:sz w:val="24"/>
        </w:rPr>
        <w:t>要强调国内本土案例的收集、开发与研究</w:t>
      </w:r>
      <w:r>
        <w:rPr>
          <w:rFonts w:ascii="华文细黑" w:eastAsia="华文细黑" w:hAnsi="华文细黑" w:hint="eastAsia"/>
          <w:sz w:val="24"/>
        </w:rPr>
        <w:t>。编写的案例须符合规范要求，一般应有引言、背景介绍、事实情景（</w:t>
      </w:r>
      <w:proofErr w:type="gramStart"/>
      <w:r>
        <w:rPr>
          <w:rFonts w:ascii="华文细黑" w:eastAsia="华文细黑" w:hAnsi="华文细黑" w:hint="eastAsia"/>
          <w:sz w:val="24"/>
        </w:rPr>
        <w:t>含面临</w:t>
      </w:r>
      <w:proofErr w:type="gramEnd"/>
      <w:r>
        <w:rPr>
          <w:rFonts w:ascii="华文细黑" w:eastAsia="华文细黑" w:hAnsi="华文细黑" w:hint="eastAsia"/>
          <w:sz w:val="24"/>
        </w:rPr>
        <w:t>的问题）、需要做出的选择（行动或方案）、启发性思考题、案例使用说明等项内容。案例凡涉及相关企业的案例原则上需有主要企业的授权书</w:t>
      </w:r>
    </w:p>
    <w:p w:rsidR="00E6107C" w:rsidRDefault="00E6107C" w:rsidP="00E6107C">
      <w:pPr>
        <w:spacing w:line="480" w:lineRule="atLeast"/>
        <w:ind w:firstLine="480"/>
        <w:rPr>
          <w:rFonts w:ascii="华文细黑" w:eastAsia="华文细黑" w:hAnsi="华文细黑"/>
          <w:b/>
          <w:sz w:val="24"/>
        </w:rPr>
      </w:pPr>
      <w:r>
        <w:rPr>
          <w:rFonts w:ascii="华文细黑" w:eastAsia="华文细黑" w:hAnsi="华文细黑" w:hint="eastAsia"/>
          <w:b/>
          <w:sz w:val="24"/>
        </w:rPr>
        <w:t>招标对象</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凡本校范围内有</w:t>
      </w:r>
      <w:r>
        <w:rPr>
          <w:rFonts w:ascii="华文细黑" w:eastAsia="华文细黑" w:hAnsi="华文细黑" w:hint="eastAsia"/>
          <w:b/>
          <w:sz w:val="24"/>
        </w:rPr>
        <w:t>副高级职称或有博士学位</w:t>
      </w:r>
      <w:r>
        <w:rPr>
          <w:rFonts w:ascii="华文细黑" w:eastAsia="华文细黑" w:hAnsi="华文细黑" w:hint="eastAsia"/>
          <w:sz w:val="24"/>
        </w:rPr>
        <w:t>的在职教师，并需要具有</w:t>
      </w:r>
      <w:r>
        <w:rPr>
          <w:rFonts w:ascii="华文细黑" w:eastAsia="华文细黑" w:hAnsi="华文细黑" w:hint="eastAsia"/>
          <w:b/>
          <w:sz w:val="24"/>
        </w:rPr>
        <w:t>MBA</w:t>
      </w:r>
      <w:r>
        <w:rPr>
          <w:rFonts w:ascii="华文细黑" w:eastAsia="华文细黑" w:hAnsi="华文细黑" w:hint="eastAsia"/>
          <w:sz w:val="24"/>
        </w:rPr>
        <w:t>课程任教经验者可以参与招标。</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案例编写可以由个人独立完成，但鼓励有关教师合作或与企业有关人员组成</w:t>
      </w:r>
      <w:r>
        <w:rPr>
          <w:rFonts w:ascii="华文细黑" w:eastAsia="华文细黑" w:hAnsi="华文细黑" w:hint="eastAsia"/>
          <w:sz w:val="24"/>
        </w:rPr>
        <w:lastRenderedPageBreak/>
        <w:t>项目小组，充分发挥团队作用，协力编写出高质量的案例。</w:t>
      </w:r>
    </w:p>
    <w:p w:rsidR="00E6107C" w:rsidRDefault="00E6107C" w:rsidP="00E6107C">
      <w:pPr>
        <w:keepNext/>
        <w:numPr>
          <w:ilvl w:val="0"/>
          <w:numId w:val="1"/>
        </w:numPr>
        <w:tabs>
          <w:tab w:val="clear" w:pos="960"/>
          <w:tab w:val="num" w:pos="360"/>
        </w:tabs>
        <w:spacing w:line="480" w:lineRule="atLeast"/>
        <w:ind w:left="357" w:hanging="357"/>
        <w:rPr>
          <w:rFonts w:ascii="华文细黑" w:eastAsia="华文细黑" w:hAnsi="华文细黑"/>
          <w:b/>
          <w:sz w:val="24"/>
        </w:rPr>
      </w:pPr>
      <w:r>
        <w:rPr>
          <w:rFonts w:ascii="华文细黑" w:eastAsia="华文细黑" w:hAnsi="华文细黑" w:hint="eastAsia"/>
          <w:b/>
          <w:sz w:val="24"/>
        </w:rPr>
        <w:t>申请步骤</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第一步：填写《上海财经大学商学院教学案例编写项目投标书》,提交</w:t>
      </w:r>
      <w:r>
        <w:rPr>
          <w:rFonts w:ascii="华文细黑" w:eastAsia="华文细黑" w:hAnsi="华文细黑" w:hint="eastAsia"/>
          <w:b/>
          <w:sz w:val="24"/>
        </w:rPr>
        <w:t>商学院案例中心</w:t>
      </w:r>
      <w:r>
        <w:rPr>
          <w:rFonts w:ascii="华文细黑" w:eastAsia="华文细黑" w:hAnsi="华文细黑" w:hint="eastAsia"/>
          <w:sz w:val="24"/>
        </w:rPr>
        <w:t>。具体时间以商学院学院主页和校内通知为准。</w:t>
      </w:r>
    </w:p>
    <w:p w:rsidR="00E6107C" w:rsidRDefault="00E6107C" w:rsidP="00E6107C">
      <w:pPr>
        <w:spacing w:line="480" w:lineRule="atLeast"/>
        <w:ind w:firstLine="480"/>
        <w:rPr>
          <w:rFonts w:ascii="华文细黑" w:eastAsia="华文细黑" w:hAnsi="华文细黑"/>
          <w:b/>
          <w:sz w:val="24"/>
        </w:rPr>
      </w:pPr>
      <w:r>
        <w:rPr>
          <w:rFonts w:ascii="华文细黑" w:eastAsia="华文细黑" w:hAnsi="华文细黑" w:hint="eastAsia"/>
          <w:b/>
          <w:sz w:val="24"/>
        </w:rPr>
        <w:t>凡个人独立编写案例的，每期只能投标一个案例；</w:t>
      </w:r>
    </w:p>
    <w:p w:rsidR="00E6107C" w:rsidRDefault="00E6107C" w:rsidP="00E6107C">
      <w:pPr>
        <w:spacing w:line="480" w:lineRule="atLeast"/>
        <w:ind w:firstLine="480"/>
        <w:rPr>
          <w:rFonts w:ascii="华文细黑" w:eastAsia="华文细黑" w:hAnsi="华文细黑"/>
          <w:b/>
          <w:sz w:val="24"/>
        </w:rPr>
      </w:pPr>
      <w:r>
        <w:rPr>
          <w:rFonts w:ascii="华文细黑" w:eastAsia="华文细黑" w:hAnsi="华文细黑" w:hint="eastAsia"/>
          <w:b/>
          <w:sz w:val="24"/>
        </w:rPr>
        <w:t>由两人以上合力编写，每期最多可投标两个案例。</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第二步：商学院案例中心负责对所有提交材料进行</w:t>
      </w:r>
      <w:r>
        <w:rPr>
          <w:rFonts w:ascii="华文细黑" w:eastAsia="华文细黑" w:hAnsi="华文细黑" w:hint="eastAsia"/>
          <w:b/>
          <w:sz w:val="24"/>
        </w:rPr>
        <w:t>初审</w:t>
      </w:r>
      <w:r>
        <w:rPr>
          <w:rFonts w:ascii="华文细黑" w:eastAsia="华文细黑" w:hAnsi="华文细黑" w:hint="eastAsia"/>
          <w:sz w:val="24"/>
        </w:rPr>
        <w:t>，并组织召开商学院案例指导与评审委员会会议对</w:t>
      </w:r>
      <w:r>
        <w:rPr>
          <w:rFonts w:ascii="华文细黑" w:eastAsia="华文细黑" w:hAnsi="华文细黑" w:hint="eastAsia"/>
          <w:b/>
          <w:sz w:val="24"/>
        </w:rPr>
        <w:t>通过初审的材料</w:t>
      </w:r>
      <w:r>
        <w:rPr>
          <w:rFonts w:ascii="华文细黑" w:eastAsia="华文细黑" w:hAnsi="华文细黑" w:hint="eastAsia"/>
          <w:sz w:val="24"/>
        </w:rPr>
        <w:t>进行</w:t>
      </w:r>
      <w:r>
        <w:rPr>
          <w:rFonts w:ascii="华文细黑" w:eastAsia="华文细黑" w:hAnsi="华文细黑" w:hint="eastAsia"/>
          <w:b/>
          <w:sz w:val="24"/>
        </w:rPr>
        <w:t>表决</w:t>
      </w:r>
      <w:r>
        <w:rPr>
          <w:rFonts w:ascii="华文细黑" w:eastAsia="华文细黑" w:hAnsi="华文细黑" w:hint="eastAsia"/>
          <w:sz w:val="24"/>
        </w:rPr>
        <w:t>，会后公布表决结果，</w:t>
      </w:r>
      <w:r>
        <w:rPr>
          <w:rFonts w:ascii="华文细黑" w:eastAsia="华文细黑" w:hAnsi="华文细黑" w:hint="eastAsia"/>
          <w:b/>
          <w:sz w:val="24"/>
        </w:rPr>
        <w:t>推荐案例的中标人按照要求提交终稿后即可获得经费</w:t>
      </w:r>
      <w:r>
        <w:rPr>
          <w:rFonts w:ascii="华文细黑" w:eastAsia="华文细黑" w:hAnsi="华文细黑" w:hint="eastAsia"/>
          <w:sz w:val="24"/>
        </w:rPr>
        <w:t>，</w:t>
      </w:r>
      <w:r>
        <w:rPr>
          <w:rFonts w:ascii="华文细黑" w:eastAsia="华文细黑" w:hAnsi="华文细黑" w:hint="eastAsia"/>
          <w:b/>
          <w:sz w:val="24"/>
        </w:rPr>
        <w:t>编写案例中标人可获得启动经费。</w:t>
      </w:r>
    </w:p>
    <w:p w:rsidR="00E6107C" w:rsidRDefault="00E6107C" w:rsidP="00E6107C">
      <w:pPr>
        <w:spacing w:line="480" w:lineRule="atLeast"/>
        <w:ind w:firstLine="480"/>
        <w:rPr>
          <w:rFonts w:ascii="华文细黑" w:eastAsia="华文细黑" w:hAnsi="华文细黑"/>
          <w:b/>
          <w:sz w:val="24"/>
        </w:rPr>
      </w:pPr>
      <w:r>
        <w:rPr>
          <w:rFonts w:ascii="华文细黑" w:eastAsia="华文细黑" w:hAnsi="华文细黑" w:hint="eastAsia"/>
          <w:sz w:val="24"/>
        </w:rPr>
        <w:t>第三步：编写案例中标人</w:t>
      </w:r>
      <w:r w:rsidRPr="007855B0">
        <w:rPr>
          <w:rFonts w:ascii="华文细黑" w:eastAsia="华文细黑" w:hAnsi="华文细黑" w:hint="eastAsia"/>
          <w:b/>
          <w:sz w:val="24"/>
        </w:rPr>
        <w:t>当年</w:t>
      </w:r>
      <w:r>
        <w:rPr>
          <w:rFonts w:ascii="华文细黑" w:eastAsia="华文细黑" w:hAnsi="华文细黑" w:hint="eastAsia"/>
          <w:b/>
          <w:sz w:val="24"/>
        </w:rPr>
        <w:t>9月份</w:t>
      </w:r>
      <w:r>
        <w:rPr>
          <w:rFonts w:ascii="华文细黑" w:eastAsia="华文细黑" w:hAnsi="华文细黑" w:hint="eastAsia"/>
          <w:sz w:val="24"/>
        </w:rPr>
        <w:t>向商学院案例中心提交阶段成果，接受</w:t>
      </w:r>
      <w:r>
        <w:rPr>
          <w:rFonts w:ascii="华文细黑" w:eastAsia="华文细黑" w:hAnsi="华文细黑" w:hint="eastAsia"/>
          <w:b/>
          <w:sz w:val="24"/>
        </w:rPr>
        <w:t>中期评审</w:t>
      </w:r>
      <w:r>
        <w:rPr>
          <w:rFonts w:ascii="华文细黑" w:eastAsia="华文细黑" w:hAnsi="华文细黑" w:hint="eastAsia"/>
          <w:sz w:val="24"/>
        </w:rPr>
        <w:t>，并根据反馈意见进行修改或调整编写进度，以保证按时完成案例编写工作。</w:t>
      </w:r>
      <w:r>
        <w:rPr>
          <w:rFonts w:ascii="华文细黑" w:eastAsia="华文细黑" w:hAnsi="华文细黑" w:hint="eastAsia"/>
          <w:b/>
          <w:sz w:val="24"/>
        </w:rPr>
        <w:t>通过中期评审后，编写案例中标人即可获得全部基本经费。</w:t>
      </w:r>
    </w:p>
    <w:p w:rsidR="00E6107C" w:rsidRDefault="00E6107C" w:rsidP="00E6107C">
      <w:pPr>
        <w:spacing w:line="480" w:lineRule="atLeast"/>
        <w:ind w:firstLine="480"/>
        <w:rPr>
          <w:rFonts w:ascii="华文细黑" w:eastAsia="华文细黑" w:hAnsi="华文细黑"/>
          <w:b/>
          <w:sz w:val="24"/>
        </w:rPr>
      </w:pPr>
      <w:r>
        <w:rPr>
          <w:rFonts w:ascii="华文细黑" w:eastAsia="华文细黑" w:hAnsi="华文细黑" w:hint="eastAsia"/>
          <w:sz w:val="24"/>
        </w:rPr>
        <w:t>第四部：编写案例中标人于</w:t>
      </w:r>
      <w:r>
        <w:rPr>
          <w:rFonts w:ascii="华文细黑" w:eastAsia="华文细黑" w:hAnsi="华文细黑" w:hint="eastAsia"/>
          <w:b/>
          <w:sz w:val="24"/>
        </w:rPr>
        <w:t>当年11月份</w:t>
      </w:r>
      <w:r>
        <w:rPr>
          <w:rFonts w:ascii="华文细黑" w:eastAsia="华文细黑" w:hAnsi="华文细黑" w:hint="eastAsia"/>
          <w:sz w:val="24"/>
        </w:rPr>
        <w:t>向商学院案例中心提交</w:t>
      </w:r>
      <w:r>
        <w:rPr>
          <w:rFonts w:ascii="华文细黑" w:eastAsia="华文细黑" w:hAnsi="华文细黑" w:hint="eastAsia"/>
          <w:b/>
          <w:sz w:val="24"/>
        </w:rPr>
        <w:t>全部成果</w:t>
      </w:r>
      <w:r>
        <w:rPr>
          <w:rFonts w:ascii="华文细黑" w:eastAsia="华文细黑" w:hAnsi="华文细黑" w:hint="eastAsia"/>
          <w:sz w:val="24"/>
        </w:rPr>
        <w:t>。商学院案例中心负责组织召开商学院案例指导与评审委员会会议，对所提交成果进行</w:t>
      </w:r>
      <w:r>
        <w:rPr>
          <w:rFonts w:ascii="华文细黑" w:eastAsia="华文细黑" w:hAnsi="华文细黑" w:hint="eastAsia"/>
          <w:b/>
          <w:sz w:val="24"/>
        </w:rPr>
        <w:t>验收和评审评分</w:t>
      </w:r>
      <w:r>
        <w:rPr>
          <w:rFonts w:ascii="华文细黑" w:eastAsia="华文细黑" w:hAnsi="华文细黑" w:hint="eastAsia"/>
          <w:sz w:val="24"/>
        </w:rPr>
        <w:t>，</w:t>
      </w:r>
      <w:r>
        <w:rPr>
          <w:rFonts w:ascii="华文细黑" w:eastAsia="华文细黑" w:hAnsi="华文细黑" w:hint="eastAsia"/>
          <w:b/>
          <w:sz w:val="24"/>
        </w:rPr>
        <w:t>评分将作为发放奖励经费的主要标准</w:t>
      </w:r>
      <w:r>
        <w:rPr>
          <w:rFonts w:ascii="华文细黑" w:eastAsia="华文细黑" w:hAnsi="华文细黑" w:hint="eastAsia"/>
          <w:sz w:val="24"/>
        </w:rPr>
        <w:t>。</w:t>
      </w:r>
      <w:r>
        <w:rPr>
          <w:rFonts w:ascii="华文细黑" w:eastAsia="华文细黑" w:hAnsi="华文细黑" w:hint="eastAsia"/>
          <w:b/>
          <w:sz w:val="24"/>
        </w:rPr>
        <w:t>编写案例中标人根据评审评分意见修改并提交最终稿后，方可领取奖励经费。</w:t>
      </w:r>
    </w:p>
    <w:p w:rsidR="00E6107C" w:rsidRDefault="00E6107C" w:rsidP="00E6107C">
      <w:pPr>
        <w:numPr>
          <w:ilvl w:val="0"/>
          <w:numId w:val="1"/>
        </w:numPr>
        <w:tabs>
          <w:tab w:val="clear" w:pos="960"/>
          <w:tab w:val="num" w:pos="360"/>
        </w:tabs>
        <w:spacing w:line="480" w:lineRule="atLeast"/>
        <w:ind w:left="360" w:hanging="360"/>
        <w:rPr>
          <w:rFonts w:ascii="华文细黑" w:eastAsia="华文细黑" w:hAnsi="华文细黑"/>
          <w:b/>
          <w:sz w:val="24"/>
        </w:rPr>
      </w:pPr>
      <w:r>
        <w:rPr>
          <w:rFonts w:ascii="华文细黑" w:eastAsia="华文细黑" w:hAnsi="华文细黑" w:hint="eastAsia"/>
          <w:b/>
          <w:sz w:val="24"/>
        </w:rPr>
        <w:t>经费安排</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商学院在科研处开设专门</w:t>
      </w:r>
      <w:proofErr w:type="gramStart"/>
      <w:r>
        <w:rPr>
          <w:rFonts w:ascii="华文细黑" w:eastAsia="华文细黑" w:hAnsi="华文细黑" w:hint="eastAsia"/>
          <w:sz w:val="24"/>
        </w:rPr>
        <w:t>帐户</w:t>
      </w:r>
      <w:proofErr w:type="gramEnd"/>
      <w:r>
        <w:rPr>
          <w:rFonts w:ascii="华文细黑" w:eastAsia="华文细黑" w:hAnsi="华文细黑" w:hint="eastAsia"/>
          <w:sz w:val="24"/>
        </w:rPr>
        <w:t>，每年拨付专项经费用于案例编写和管理，具体拨付额度于每年5月底之前根据当年投标情况确定。中标者（编写）可获得一个分册账本，</w:t>
      </w:r>
      <w:proofErr w:type="gramStart"/>
      <w:r>
        <w:rPr>
          <w:rFonts w:ascii="华文细黑" w:eastAsia="华文细黑" w:hAnsi="华文细黑" w:hint="eastAsia"/>
          <w:sz w:val="24"/>
        </w:rPr>
        <w:t>按科研</w:t>
      </w:r>
      <w:proofErr w:type="gramEnd"/>
      <w:r>
        <w:rPr>
          <w:rFonts w:ascii="华文细黑" w:eastAsia="华文细黑" w:hAnsi="华文细黑" w:hint="eastAsia"/>
          <w:sz w:val="24"/>
        </w:rPr>
        <w:t>处有关规定自行使用。</w:t>
      </w:r>
    </w:p>
    <w:p w:rsidR="00E6107C" w:rsidRDefault="00E6107C" w:rsidP="00E6107C">
      <w:pPr>
        <w:spacing w:line="480" w:lineRule="atLeast"/>
        <w:ind w:firstLine="480"/>
        <w:rPr>
          <w:rFonts w:ascii="华文细黑" w:eastAsia="华文细黑" w:hAnsi="华文细黑"/>
          <w:b/>
          <w:sz w:val="24"/>
        </w:rPr>
      </w:pPr>
      <w:r>
        <w:rPr>
          <w:rFonts w:ascii="华文细黑" w:eastAsia="华文细黑" w:hAnsi="华文细黑" w:hint="eastAsia"/>
          <w:sz w:val="24"/>
        </w:rPr>
        <w:t>每个编写案例基本经费为</w:t>
      </w:r>
      <w:r>
        <w:rPr>
          <w:rFonts w:ascii="华文细黑" w:eastAsia="华文细黑" w:hAnsi="华文细黑" w:hint="eastAsia"/>
          <w:b/>
          <w:sz w:val="24"/>
        </w:rPr>
        <w:t>2万元</w:t>
      </w:r>
      <w:r>
        <w:rPr>
          <w:rFonts w:ascii="华文细黑" w:eastAsia="华文细黑" w:hAnsi="华文细黑" w:hint="eastAsia"/>
          <w:sz w:val="24"/>
        </w:rPr>
        <w:t>：中标结果公布后发放启动经费</w:t>
      </w:r>
      <w:r>
        <w:rPr>
          <w:rFonts w:ascii="华文细黑" w:eastAsia="华文细黑" w:hAnsi="华文细黑" w:hint="eastAsia"/>
          <w:b/>
          <w:sz w:val="24"/>
        </w:rPr>
        <w:t>1万元</w:t>
      </w:r>
      <w:r>
        <w:rPr>
          <w:rFonts w:ascii="华文细黑" w:eastAsia="华文细黑" w:hAnsi="华文细黑" w:hint="eastAsia"/>
          <w:sz w:val="24"/>
        </w:rPr>
        <w:t>；通</w:t>
      </w:r>
      <w:r>
        <w:rPr>
          <w:rFonts w:ascii="华文细黑" w:eastAsia="华文细黑" w:hAnsi="华文细黑" w:hint="eastAsia"/>
          <w:sz w:val="24"/>
        </w:rPr>
        <w:lastRenderedPageBreak/>
        <w:t>过中期评审后发放剩余的</w:t>
      </w:r>
      <w:r>
        <w:rPr>
          <w:rFonts w:ascii="华文细黑" w:eastAsia="华文细黑" w:hAnsi="华文细黑" w:hint="eastAsia"/>
          <w:b/>
          <w:sz w:val="24"/>
        </w:rPr>
        <w:t>1万元。</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成果通过验收评审后，参考案例评分结果以及该案例的其他获奖情况决定奖励与否，</w:t>
      </w:r>
      <w:r>
        <w:rPr>
          <w:rFonts w:ascii="华文细黑" w:eastAsia="华文细黑" w:hAnsi="华文细黑" w:hint="eastAsia"/>
          <w:b/>
          <w:sz w:val="24"/>
        </w:rPr>
        <w:t>奖励额度</w:t>
      </w:r>
      <w:r>
        <w:rPr>
          <w:rFonts w:ascii="华文细黑" w:eastAsia="华文细黑" w:hAnsi="华文细黑" w:hint="eastAsia"/>
          <w:bCs/>
          <w:sz w:val="24"/>
        </w:rPr>
        <w:t>为</w:t>
      </w:r>
      <w:r>
        <w:rPr>
          <w:rFonts w:ascii="华文细黑" w:eastAsia="华文细黑" w:hAnsi="华文细黑" w:hint="eastAsia"/>
          <w:b/>
          <w:sz w:val="24"/>
        </w:rPr>
        <w:t>5千元至1万5千元</w:t>
      </w:r>
      <w:r>
        <w:rPr>
          <w:rFonts w:ascii="华文细黑" w:eastAsia="华文细黑" w:hAnsi="华文细黑" w:hint="eastAsia"/>
          <w:sz w:val="24"/>
        </w:rPr>
        <w:t>。其他获奖情况包括，申请者提交的案例入选中国管理案例共享中心案例库百篇优秀案例，或申请者提交的案例（英文）在国际一流管理案例大赛（例如EQUIS组织的EFMD年度案例创作大赛）中获奖等。</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组织架构</w:t>
      </w:r>
    </w:p>
    <w:p w:rsidR="00E6107C" w:rsidRPr="00752189" w:rsidRDefault="00E6107C" w:rsidP="00E6107C">
      <w:pPr>
        <w:spacing w:line="480" w:lineRule="atLeast"/>
        <w:ind w:firstLine="480"/>
        <w:rPr>
          <w:rFonts w:ascii="华文细黑" w:eastAsia="华文细黑" w:hAnsi="华文细黑"/>
          <w:b/>
          <w:sz w:val="24"/>
        </w:rPr>
      </w:pPr>
      <w:r>
        <w:rPr>
          <w:rFonts w:ascii="华文细黑" w:eastAsia="华文细黑" w:hAnsi="华文细黑" w:hint="eastAsia"/>
          <w:sz w:val="24"/>
        </w:rPr>
        <w:t>商学院设立专家评审委员会，由学院组织和邀请校内资深专家组成。评审委员会负责讨论。</w:t>
      </w:r>
    </w:p>
    <w:p w:rsidR="00E6107C" w:rsidRDefault="00E6107C" w:rsidP="00E6107C">
      <w:pPr>
        <w:numPr>
          <w:ilvl w:val="0"/>
          <w:numId w:val="1"/>
        </w:numPr>
        <w:tabs>
          <w:tab w:val="clear" w:pos="960"/>
          <w:tab w:val="num" w:pos="360"/>
        </w:tabs>
        <w:spacing w:line="480" w:lineRule="atLeast"/>
        <w:ind w:left="360" w:hanging="360"/>
        <w:rPr>
          <w:rFonts w:ascii="华文细黑" w:eastAsia="华文细黑" w:hAnsi="华文细黑"/>
          <w:b/>
          <w:sz w:val="24"/>
        </w:rPr>
      </w:pPr>
      <w:r>
        <w:rPr>
          <w:rFonts w:ascii="华文细黑" w:eastAsia="华文细黑" w:hAnsi="华文细黑" w:hint="eastAsia"/>
          <w:b/>
          <w:sz w:val="24"/>
        </w:rPr>
        <w:t>评审制度</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案例投标（包括编写）须经过</w:t>
      </w:r>
      <w:r>
        <w:rPr>
          <w:rFonts w:ascii="华文细黑" w:eastAsia="华文细黑" w:hAnsi="华文细黑" w:hint="eastAsia"/>
          <w:b/>
          <w:sz w:val="24"/>
        </w:rPr>
        <w:t>初审</w:t>
      </w:r>
      <w:r>
        <w:rPr>
          <w:rFonts w:ascii="华文细黑" w:eastAsia="华文细黑" w:hAnsi="华文细黑" w:hint="eastAsia"/>
          <w:sz w:val="24"/>
        </w:rPr>
        <w:t>和</w:t>
      </w:r>
      <w:r>
        <w:rPr>
          <w:rFonts w:ascii="华文细黑" w:eastAsia="华文细黑" w:hAnsi="华文细黑" w:hint="eastAsia"/>
          <w:b/>
          <w:sz w:val="24"/>
        </w:rPr>
        <w:t>表决</w:t>
      </w:r>
      <w:r>
        <w:rPr>
          <w:rFonts w:ascii="华文细黑" w:eastAsia="华文细黑" w:hAnsi="华文细黑" w:hint="eastAsia"/>
          <w:sz w:val="24"/>
        </w:rPr>
        <w:t>，初审工作由商学院案例中心负责，表决</w:t>
      </w:r>
      <w:proofErr w:type="gramStart"/>
      <w:r>
        <w:rPr>
          <w:rFonts w:ascii="华文细黑" w:eastAsia="华文细黑" w:hAnsi="华文细黑" w:hint="eastAsia"/>
          <w:sz w:val="24"/>
        </w:rPr>
        <w:t>须组织</w:t>
      </w:r>
      <w:proofErr w:type="gramEnd"/>
      <w:r>
        <w:rPr>
          <w:rFonts w:ascii="华文细黑" w:eastAsia="华文细黑" w:hAnsi="华文细黑" w:hint="eastAsia"/>
          <w:sz w:val="24"/>
        </w:rPr>
        <w:t>召开商学院案例指导与评审委员会会议进行，表决会议在</w:t>
      </w:r>
      <w:r>
        <w:rPr>
          <w:rFonts w:ascii="华文细黑" w:eastAsia="华文细黑" w:hAnsi="华文细黑" w:hint="eastAsia"/>
          <w:b/>
          <w:sz w:val="24"/>
        </w:rPr>
        <w:t>每年6月</w:t>
      </w:r>
      <w:r>
        <w:rPr>
          <w:rFonts w:ascii="华文细黑" w:eastAsia="华文细黑" w:hAnsi="华文细黑" w:hint="eastAsia"/>
          <w:sz w:val="24"/>
        </w:rPr>
        <w:t>召开。</w:t>
      </w:r>
    </w:p>
    <w:p w:rsidR="00E6107C" w:rsidRDefault="00E6107C" w:rsidP="00E6107C">
      <w:pPr>
        <w:spacing w:line="480" w:lineRule="atLeast"/>
        <w:ind w:firstLine="480"/>
        <w:rPr>
          <w:rFonts w:ascii="华文细黑" w:eastAsia="华文细黑" w:hAnsi="华文细黑"/>
          <w:b/>
          <w:sz w:val="24"/>
        </w:rPr>
      </w:pPr>
      <w:r>
        <w:rPr>
          <w:rFonts w:ascii="华文细黑" w:eastAsia="华文细黑" w:hAnsi="华文细黑" w:hint="eastAsia"/>
          <w:sz w:val="24"/>
        </w:rPr>
        <w:t>编写案例的</w:t>
      </w:r>
      <w:r>
        <w:rPr>
          <w:rFonts w:ascii="华文细黑" w:eastAsia="华文细黑" w:hAnsi="华文细黑" w:hint="eastAsia"/>
          <w:b/>
          <w:sz w:val="24"/>
        </w:rPr>
        <w:t>中期评审</w:t>
      </w:r>
      <w:r>
        <w:rPr>
          <w:rFonts w:ascii="华文细黑" w:eastAsia="华文细黑" w:hAnsi="华文细黑" w:hint="eastAsia"/>
          <w:bCs/>
          <w:sz w:val="24"/>
        </w:rPr>
        <w:t>工作由</w:t>
      </w:r>
      <w:r>
        <w:rPr>
          <w:rFonts w:ascii="华文细黑" w:eastAsia="华文细黑" w:hAnsi="华文细黑" w:hint="eastAsia"/>
          <w:sz w:val="24"/>
        </w:rPr>
        <w:t>商学院学院案例中心负责在</w:t>
      </w:r>
      <w:r>
        <w:rPr>
          <w:rFonts w:ascii="华文细黑" w:eastAsia="华文细黑" w:hAnsi="华文细黑" w:hint="eastAsia"/>
          <w:b/>
          <w:bCs/>
          <w:sz w:val="24"/>
        </w:rPr>
        <w:t>每年9月</w:t>
      </w:r>
      <w:r>
        <w:rPr>
          <w:rFonts w:ascii="华文细黑" w:eastAsia="华文细黑" w:hAnsi="华文细黑" w:hint="eastAsia"/>
          <w:sz w:val="24"/>
        </w:rPr>
        <w:t>进行。</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编写案例的验收评审</w:t>
      </w:r>
      <w:proofErr w:type="gramStart"/>
      <w:r>
        <w:rPr>
          <w:rFonts w:ascii="华文细黑" w:eastAsia="华文细黑" w:hAnsi="华文细黑" w:hint="eastAsia"/>
          <w:sz w:val="24"/>
        </w:rPr>
        <w:t>须召开</w:t>
      </w:r>
      <w:proofErr w:type="gramEnd"/>
      <w:r>
        <w:rPr>
          <w:rFonts w:ascii="华文细黑" w:eastAsia="华文细黑" w:hAnsi="华文细黑" w:hint="eastAsia"/>
          <w:sz w:val="24"/>
        </w:rPr>
        <w:t>商学院案例指导与评审委员会会议进行，验收评审会议在每年</w:t>
      </w:r>
      <w:r>
        <w:rPr>
          <w:rFonts w:ascii="华文细黑" w:eastAsia="华文细黑" w:hAnsi="华文细黑" w:hint="eastAsia"/>
          <w:b/>
          <w:sz w:val="24"/>
        </w:rPr>
        <w:t>11月份</w:t>
      </w:r>
      <w:r>
        <w:rPr>
          <w:rFonts w:ascii="华文细黑" w:eastAsia="华文细黑" w:hAnsi="华文细黑" w:hint="eastAsia"/>
          <w:sz w:val="24"/>
        </w:rPr>
        <w:t>。</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凡参加表决或验收评审会议的成员同时参与案例投标者，可参加投票表决，但计算表决票时应扣除一票。</w:t>
      </w:r>
    </w:p>
    <w:p w:rsidR="00E6107C" w:rsidRDefault="00E6107C" w:rsidP="00E6107C">
      <w:pPr>
        <w:spacing w:line="480" w:lineRule="atLeast"/>
        <w:ind w:firstLine="480"/>
        <w:rPr>
          <w:rFonts w:ascii="华文细黑" w:eastAsia="华文细黑" w:hAnsi="华文细黑"/>
          <w:sz w:val="24"/>
        </w:rPr>
      </w:pPr>
      <w:r>
        <w:rPr>
          <w:rFonts w:ascii="华文细黑" w:eastAsia="华文细黑" w:hAnsi="华文细黑" w:hint="eastAsia"/>
          <w:sz w:val="24"/>
        </w:rPr>
        <w:t>表决和验收评审会议至少有三分之二以上成员出席，表决以出席成员过半数（不含半数）以上同意，方可通过。</w:t>
      </w:r>
    </w:p>
    <w:p w:rsidR="00E6107C" w:rsidRDefault="00E6107C" w:rsidP="00E6107C">
      <w:pPr>
        <w:numPr>
          <w:ilvl w:val="0"/>
          <w:numId w:val="1"/>
        </w:numPr>
        <w:tabs>
          <w:tab w:val="clear" w:pos="960"/>
          <w:tab w:val="num" w:pos="360"/>
        </w:tabs>
        <w:spacing w:line="480" w:lineRule="atLeast"/>
        <w:ind w:left="360" w:hanging="360"/>
        <w:rPr>
          <w:rFonts w:ascii="华文细黑" w:eastAsia="华文细黑" w:hAnsi="华文细黑"/>
          <w:b/>
          <w:sz w:val="24"/>
        </w:rPr>
      </w:pPr>
      <w:r>
        <w:rPr>
          <w:rFonts w:ascii="华文细黑" w:eastAsia="华文细黑" w:hAnsi="华文细黑" w:hint="eastAsia"/>
          <w:b/>
          <w:sz w:val="24"/>
        </w:rPr>
        <w:t>案例出版</w:t>
      </w:r>
    </w:p>
    <w:p w:rsidR="00E6107C" w:rsidRDefault="00E6107C" w:rsidP="00E6107C">
      <w:pPr>
        <w:tabs>
          <w:tab w:val="left" w:pos="900"/>
        </w:tabs>
        <w:spacing w:line="480" w:lineRule="atLeast"/>
        <w:ind w:firstLine="480"/>
        <w:jc w:val="left"/>
        <w:rPr>
          <w:rFonts w:ascii="华文细黑" w:eastAsia="华文细黑" w:hAnsi="华文细黑"/>
          <w:sz w:val="24"/>
        </w:rPr>
      </w:pPr>
      <w:r>
        <w:rPr>
          <w:rFonts w:ascii="华文细黑" w:eastAsia="华文细黑" w:hAnsi="华文细黑" w:hint="eastAsia"/>
          <w:sz w:val="24"/>
        </w:rPr>
        <w:t>编写案例凡获得通过的由商学院负责出版，署名权由作者所有，出版权归</w:t>
      </w:r>
      <w:r>
        <w:rPr>
          <w:rFonts w:ascii="华文细黑" w:eastAsia="华文细黑" w:hAnsi="华文细黑" w:hint="eastAsia"/>
          <w:sz w:val="24"/>
        </w:rPr>
        <w:lastRenderedPageBreak/>
        <w:t>上海财经大学商学院。推荐案例仅限内部发行，商学院教师有权使用案例库中的案例，但不得私自将案例提供给院外单位和个人；</w:t>
      </w:r>
    </w:p>
    <w:p w:rsidR="00E6107C" w:rsidRDefault="00E6107C" w:rsidP="00E6107C">
      <w:pPr>
        <w:tabs>
          <w:tab w:val="left" w:pos="900"/>
        </w:tabs>
        <w:spacing w:line="480" w:lineRule="atLeast"/>
        <w:ind w:firstLine="480"/>
        <w:jc w:val="left"/>
        <w:rPr>
          <w:rFonts w:ascii="华文细黑" w:eastAsia="华文细黑" w:hAnsi="华文细黑"/>
          <w:sz w:val="24"/>
        </w:rPr>
      </w:pPr>
      <w:r>
        <w:rPr>
          <w:rFonts w:ascii="华文细黑" w:eastAsia="华文细黑" w:hAnsi="华文细黑" w:hint="eastAsia"/>
          <w:sz w:val="24"/>
        </w:rPr>
        <w:t>如有需要，上海财经大学商学院将统一制定上海财经大学商学院“商学案例库”的使用细则。</w:t>
      </w:r>
    </w:p>
    <w:p w:rsidR="00E6107C" w:rsidRDefault="00E6107C" w:rsidP="00E6107C">
      <w:pPr>
        <w:numPr>
          <w:ilvl w:val="0"/>
          <w:numId w:val="1"/>
        </w:numPr>
        <w:tabs>
          <w:tab w:val="clear" w:pos="960"/>
          <w:tab w:val="num" w:pos="360"/>
        </w:tabs>
        <w:spacing w:line="480" w:lineRule="atLeast"/>
        <w:ind w:left="360" w:hanging="360"/>
        <w:rPr>
          <w:rFonts w:ascii="华文细黑" w:eastAsia="华文细黑" w:hAnsi="华文细黑"/>
          <w:b/>
          <w:sz w:val="24"/>
        </w:rPr>
      </w:pPr>
      <w:r>
        <w:rPr>
          <w:rFonts w:ascii="华文细黑" w:eastAsia="华文细黑" w:hAnsi="华文细黑" w:hint="eastAsia"/>
          <w:b/>
          <w:sz w:val="24"/>
        </w:rPr>
        <w:t>修改、执行与解释</w:t>
      </w:r>
    </w:p>
    <w:p w:rsidR="002E75BD" w:rsidRDefault="00E6107C" w:rsidP="002E75BD">
      <w:pPr>
        <w:spacing w:line="480" w:lineRule="atLeast"/>
        <w:ind w:firstLineChars="200" w:firstLine="480"/>
        <w:rPr>
          <w:rFonts w:ascii="华文细黑" w:eastAsia="华文细黑" w:hAnsi="华文细黑"/>
          <w:sz w:val="24"/>
        </w:rPr>
      </w:pPr>
      <w:r>
        <w:rPr>
          <w:rFonts w:ascii="华文细黑" w:eastAsia="华文细黑" w:hAnsi="华文细黑" w:hint="eastAsia"/>
          <w:sz w:val="24"/>
        </w:rPr>
        <w:t>本办法由上海财经大学商学院案例评审委员会负责制定和修改，执行和解释权归上海财经大学商学院。</w:t>
      </w:r>
      <w:bookmarkStart w:id="1" w:name="_Toc234908933"/>
    </w:p>
    <w:p w:rsidR="00433E53" w:rsidRPr="00E6107C" w:rsidRDefault="002E75BD" w:rsidP="002E75BD">
      <w:pPr>
        <w:spacing w:line="480" w:lineRule="atLeast"/>
        <w:rPr>
          <w:rFonts w:hint="eastAsia"/>
        </w:rPr>
      </w:pPr>
      <w:bookmarkStart w:id="2" w:name="_GoBack"/>
      <w:bookmarkEnd w:id="1"/>
      <w:bookmarkEnd w:id="2"/>
    </w:p>
    <w:sectPr w:rsidR="00433E53" w:rsidRPr="00E61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C702A"/>
    <w:multiLevelType w:val="hybridMultilevel"/>
    <w:tmpl w:val="4C12C08A"/>
    <w:lvl w:ilvl="0" w:tplc="F4EA596E">
      <w:start w:val="1"/>
      <w:numFmt w:val="japaneseCounting"/>
      <w:lvlText w:val="%1．"/>
      <w:lvlJc w:val="left"/>
      <w:pPr>
        <w:tabs>
          <w:tab w:val="num" w:pos="495"/>
        </w:tabs>
        <w:ind w:left="495" w:hanging="49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C4605FE"/>
    <w:multiLevelType w:val="hybridMultilevel"/>
    <w:tmpl w:val="9F2017C8"/>
    <w:lvl w:ilvl="0" w:tplc="A704EF6A">
      <w:start w:val="1"/>
      <w:numFmt w:val="japaneseCounting"/>
      <w:lvlText w:val="%1．"/>
      <w:lvlJc w:val="left"/>
      <w:pPr>
        <w:tabs>
          <w:tab w:val="num" w:pos="960"/>
        </w:tabs>
        <w:ind w:left="960" w:hanging="480"/>
      </w:pPr>
      <w:rPr>
        <w:rFonts w:hint="default"/>
        <w:lang w:val="en-US"/>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4FC1618A"/>
    <w:multiLevelType w:val="multilevel"/>
    <w:tmpl w:val="2FCABFC0"/>
    <w:lvl w:ilvl="0">
      <w:start w:val="1"/>
      <w:numFmt w:val="none"/>
      <w:pStyle w:val="1"/>
      <w:lvlText w:val=""/>
      <w:lvlJc w:val="left"/>
      <w:pPr>
        <w:tabs>
          <w:tab w:val="num" w:pos="432"/>
        </w:tabs>
        <w:ind w:left="432" w:hanging="432"/>
      </w:pPr>
      <w:rPr>
        <w:rFonts w:hint="eastAsia"/>
      </w:rPr>
    </w:lvl>
    <w:lvl w:ilvl="1">
      <w:start w:val="1"/>
      <w:numFmt w:val="none"/>
      <w:pStyle w:val="2"/>
      <w:lvlText w:val=""/>
      <w:lvlJc w:val="left"/>
      <w:pPr>
        <w:tabs>
          <w:tab w:val="num" w:pos="576"/>
        </w:tabs>
        <w:ind w:left="576" w:hanging="576"/>
      </w:pPr>
      <w:rPr>
        <w:rFonts w:hint="eastAsia"/>
      </w:rPr>
    </w:lvl>
    <w:lvl w:ilvl="2">
      <w:start w:val="1"/>
      <w:numFmt w:val="decimal"/>
      <w:pStyle w:val="3"/>
      <w:lvlText w:val="%1"/>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7C"/>
    <w:rsid w:val="001D4E7A"/>
    <w:rsid w:val="002E75BD"/>
    <w:rsid w:val="00E6107C"/>
    <w:rsid w:val="00ED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6AAB7-0689-43A3-BF95-9DE026F8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7C"/>
    <w:pPr>
      <w:widowControl w:val="0"/>
      <w:jc w:val="both"/>
    </w:pPr>
    <w:rPr>
      <w:rFonts w:ascii="Times New Roman" w:eastAsia="宋体" w:hAnsi="Times New Roman" w:cs="Times New Roman"/>
      <w:szCs w:val="24"/>
    </w:rPr>
  </w:style>
  <w:style w:type="paragraph" w:styleId="1">
    <w:name w:val="heading 1"/>
    <w:basedOn w:val="a"/>
    <w:next w:val="a"/>
    <w:link w:val="1Char"/>
    <w:qFormat/>
    <w:rsid w:val="00E6107C"/>
    <w:pPr>
      <w:keepNext/>
      <w:keepLines/>
      <w:numPr>
        <w:numId w:val="2"/>
      </w:numPr>
      <w:spacing w:before="340" w:after="330" w:line="578" w:lineRule="auto"/>
      <w:outlineLvl w:val="0"/>
    </w:pPr>
    <w:rPr>
      <w:b/>
      <w:bCs/>
      <w:kern w:val="44"/>
      <w:sz w:val="44"/>
      <w:szCs w:val="44"/>
    </w:rPr>
  </w:style>
  <w:style w:type="paragraph" w:styleId="2">
    <w:name w:val="heading 2"/>
    <w:basedOn w:val="a"/>
    <w:next w:val="a"/>
    <w:link w:val="2Char"/>
    <w:qFormat/>
    <w:rsid w:val="00E6107C"/>
    <w:pPr>
      <w:keepNext/>
      <w:keepLines/>
      <w:numPr>
        <w:ilvl w:val="1"/>
        <w:numId w:val="2"/>
      </w:numPr>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E6107C"/>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Char"/>
    <w:qFormat/>
    <w:rsid w:val="00E6107C"/>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6107C"/>
    <w:pPr>
      <w:keepNext/>
      <w:keepLines/>
      <w:numPr>
        <w:ilvl w:val="4"/>
        <w:numId w:val="2"/>
      </w:numPr>
      <w:spacing w:before="280" w:after="290" w:line="376" w:lineRule="auto"/>
      <w:outlineLvl w:val="4"/>
    </w:pPr>
    <w:rPr>
      <w:b/>
      <w:bCs/>
      <w:sz w:val="28"/>
      <w:szCs w:val="28"/>
    </w:rPr>
  </w:style>
  <w:style w:type="paragraph" w:styleId="6">
    <w:name w:val="heading 6"/>
    <w:basedOn w:val="a"/>
    <w:next w:val="a"/>
    <w:link w:val="6Char"/>
    <w:qFormat/>
    <w:rsid w:val="00E6107C"/>
    <w:pPr>
      <w:keepNext/>
      <w:keepLines/>
      <w:numPr>
        <w:ilvl w:val="5"/>
        <w:numId w:val="2"/>
      </w:numPr>
      <w:spacing w:before="240" w:after="64" w:line="320" w:lineRule="auto"/>
      <w:outlineLvl w:val="5"/>
    </w:pPr>
    <w:rPr>
      <w:rFonts w:ascii="Arial" w:eastAsia="黑体" w:hAnsi="Arial"/>
      <w:b/>
      <w:bCs/>
      <w:sz w:val="24"/>
    </w:rPr>
  </w:style>
  <w:style w:type="paragraph" w:styleId="7">
    <w:name w:val="heading 7"/>
    <w:basedOn w:val="a"/>
    <w:next w:val="a"/>
    <w:link w:val="7Char"/>
    <w:qFormat/>
    <w:rsid w:val="00E6107C"/>
    <w:pPr>
      <w:keepNext/>
      <w:keepLines/>
      <w:numPr>
        <w:ilvl w:val="6"/>
        <w:numId w:val="2"/>
      </w:numPr>
      <w:spacing w:before="240" w:after="64" w:line="320" w:lineRule="auto"/>
      <w:outlineLvl w:val="6"/>
    </w:pPr>
    <w:rPr>
      <w:b/>
      <w:bCs/>
      <w:sz w:val="24"/>
    </w:rPr>
  </w:style>
  <w:style w:type="paragraph" w:styleId="8">
    <w:name w:val="heading 8"/>
    <w:basedOn w:val="a"/>
    <w:next w:val="a"/>
    <w:link w:val="8Char"/>
    <w:qFormat/>
    <w:rsid w:val="00E6107C"/>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
    <w:next w:val="a"/>
    <w:link w:val="9Char"/>
    <w:qFormat/>
    <w:rsid w:val="00E6107C"/>
    <w:pPr>
      <w:keepNext/>
      <w:keepLines/>
      <w:numPr>
        <w:ilvl w:val="8"/>
        <w:numId w:val="2"/>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6107C"/>
    <w:rPr>
      <w:rFonts w:ascii="Times New Roman" w:eastAsia="宋体" w:hAnsi="Times New Roman" w:cs="Times New Roman"/>
      <w:b/>
      <w:bCs/>
      <w:kern w:val="44"/>
      <w:sz w:val="44"/>
      <w:szCs w:val="44"/>
    </w:rPr>
  </w:style>
  <w:style w:type="character" w:customStyle="1" w:styleId="2Char">
    <w:name w:val="标题 2 Char"/>
    <w:basedOn w:val="a0"/>
    <w:link w:val="2"/>
    <w:rsid w:val="00E6107C"/>
    <w:rPr>
      <w:rFonts w:ascii="Arial" w:eastAsia="黑体" w:hAnsi="Arial" w:cs="Times New Roman"/>
      <w:b/>
      <w:bCs/>
      <w:sz w:val="32"/>
      <w:szCs w:val="32"/>
    </w:rPr>
  </w:style>
  <w:style w:type="character" w:customStyle="1" w:styleId="3Char">
    <w:name w:val="标题 3 Char"/>
    <w:basedOn w:val="a0"/>
    <w:link w:val="3"/>
    <w:rsid w:val="00E6107C"/>
    <w:rPr>
      <w:rFonts w:ascii="Times New Roman" w:eastAsia="宋体" w:hAnsi="Times New Roman" w:cs="Times New Roman"/>
      <w:b/>
      <w:bCs/>
      <w:sz w:val="32"/>
      <w:szCs w:val="32"/>
    </w:rPr>
  </w:style>
  <w:style w:type="character" w:customStyle="1" w:styleId="4Char">
    <w:name w:val="标题 4 Char"/>
    <w:basedOn w:val="a0"/>
    <w:link w:val="4"/>
    <w:rsid w:val="00E6107C"/>
    <w:rPr>
      <w:rFonts w:ascii="Arial" w:eastAsia="黑体" w:hAnsi="Arial" w:cs="Times New Roman"/>
      <w:b/>
      <w:bCs/>
      <w:sz w:val="28"/>
      <w:szCs w:val="28"/>
    </w:rPr>
  </w:style>
  <w:style w:type="character" w:customStyle="1" w:styleId="5Char">
    <w:name w:val="标题 5 Char"/>
    <w:basedOn w:val="a0"/>
    <w:link w:val="5"/>
    <w:rsid w:val="00E6107C"/>
    <w:rPr>
      <w:rFonts w:ascii="Times New Roman" w:eastAsia="宋体" w:hAnsi="Times New Roman" w:cs="Times New Roman"/>
      <w:b/>
      <w:bCs/>
      <w:sz w:val="28"/>
      <w:szCs w:val="28"/>
    </w:rPr>
  </w:style>
  <w:style w:type="character" w:customStyle="1" w:styleId="6Char">
    <w:name w:val="标题 6 Char"/>
    <w:basedOn w:val="a0"/>
    <w:link w:val="6"/>
    <w:rsid w:val="00E6107C"/>
    <w:rPr>
      <w:rFonts w:ascii="Arial" w:eastAsia="黑体" w:hAnsi="Arial" w:cs="Times New Roman"/>
      <w:b/>
      <w:bCs/>
      <w:sz w:val="24"/>
      <w:szCs w:val="24"/>
    </w:rPr>
  </w:style>
  <w:style w:type="character" w:customStyle="1" w:styleId="7Char">
    <w:name w:val="标题 7 Char"/>
    <w:basedOn w:val="a0"/>
    <w:link w:val="7"/>
    <w:rsid w:val="00E6107C"/>
    <w:rPr>
      <w:rFonts w:ascii="Times New Roman" w:eastAsia="宋体" w:hAnsi="Times New Roman" w:cs="Times New Roman"/>
      <w:b/>
      <w:bCs/>
      <w:sz w:val="24"/>
      <w:szCs w:val="24"/>
    </w:rPr>
  </w:style>
  <w:style w:type="character" w:customStyle="1" w:styleId="8Char">
    <w:name w:val="标题 8 Char"/>
    <w:basedOn w:val="a0"/>
    <w:link w:val="8"/>
    <w:rsid w:val="00E6107C"/>
    <w:rPr>
      <w:rFonts w:ascii="Arial" w:eastAsia="黑体" w:hAnsi="Arial" w:cs="Times New Roman"/>
      <w:sz w:val="24"/>
      <w:szCs w:val="24"/>
    </w:rPr>
  </w:style>
  <w:style w:type="character" w:customStyle="1" w:styleId="9Char">
    <w:name w:val="标题 9 Char"/>
    <w:basedOn w:val="a0"/>
    <w:link w:val="9"/>
    <w:rsid w:val="00E6107C"/>
    <w:rPr>
      <w:rFonts w:ascii="Arial" w:eastAsia="黑体" w:hAnsi="Arial"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010F2-30C2-4CFA-9709-C01D9FF6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LGJ</dc:creator>
  <cp:keywords/>
  <dc:description/>
  <cp:lastModifiedBy>LGJ</cp:lastModifiedBy>
  <cp:revision>2</cp:revision>
  <dcterms:created xsi:type="dcterms:W3CDTF">2019-03-14T09:10:00Z</dcterms:created>
  <dcterms:modified xsi:type="dcterms:W3CDTF">2019-03-15T07:28:00Z</dcterms:modified>
</cp:coreProperties>
</file>