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16" w:rsidRPr="00CF7116" w:rsidRDefault="00CF7116" w:rsidP="00CF7116">
      <w:pPr>
        <w:widowControl/>
        <w:shd w:val="clear" w:color="auto" w:fill="FFFFFF"/>
        <w:spacing w:before="300" w:after="225"/>
        <w:jc w:val="left"/>
        <w:outlineLvl w:val="1"/>
        <w:rPr>
          <w:rFonts w:ascii="Arial" w:eastAsia="宋体" w:hAnsi="Arial" w:cs="Arial"/>
          <w:color w:val="008000"/>
          <w:kern w:val="0"/>
          <w:sz w:val="60"/>
          <w:szCs w:val="60"/>
        </w:rPr>
      </w:pPr>
      <w:r w:rsidRPr="00CF7116">
        <w:rPr>
          <w:rFonts w:ascii="Arial" w:eastAsia="宋体" w:hAnsi="Arial" w:cs="Arial"/>
          <w:color w:val="008000"/>
          <w:kern w:val="0"/>
          <w:sz w:val="60"/>
          <w:szCs w:val="60"/>
        </w:rPr>
        <w:t>Official Rules – 2014 G20 Global Business Challenge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3"/>
          <w:szCs w:val="23"/>
        </w:rPr>
        <w:t>The </w:t>
      </w:r>
      <w:r w:rsidRPr="00CF7116">
        <w:rPr>
          <w:rFonts w:ascii="Arial" w:eastAsia="宋体" w:hAnsi="Arial" w:cs="Arial"/>
          <w:b/>
          <w:bCs/>
          <w:color w:val="404F5D"/>
          <w:kern w:val="0"/>
          <w:sz w:val="23"/>
        </w:rPr>
        <w:t>G20 Global Business Challenge</w:t>
      </w:r>
      <w:r w:rsidRPr="00CF7116">
        <w:rPr>
          <w:rFonts w:ascii="Tahoma" w:eastAsia="宋体" w:hAnsi="Tahoma" w:cs="Tahoma"/>
          <w:color w:val="404F5D"/>
          <w:kern w:val="0"/>
          <w:sz w:val="23"/>
          <w:szCs w:val="23"/>
        </w:rPr>
        <w:t xml:space="preserve"> (the “G20GBC”) is being conducted as a partnership between Queensland University of Technology, The University of Queensland and Griffith University and with the support of government and industry. The 2014 G20GBC is </w:t>
      </w:r>
      <w:proofErr w:type="spellStart"/>
      <w:r w:rsidRPr="00CF7116">
        <w:rPr>
          <w:rFonts w:ascii="Tahoma" w:eastAsia="宋体" w:hAnsi="Tahoma" w:cs="Tahoma"/>
          <w:color w:val="404F5D"/>
          <w:kern w:val="0"/>
          <w:sz w:val="23"/>
          <w:szCs w:val="23"/>
        </w:rPr>
        <w:t>organised</w:t>
      </w:r>
      <w:proofErr w:type="spellEnd"/>
      <w:r w:rsidRPr="00CF7116">
        <w:rPr>
          <w:rFonts w:ascii="Tahoma" w:eastAsia="宋体" w:hAnsi="Tahoma" w:cs="Tahoma"/>
          <w:color w:val="404F5D"/>
          <w:kern w:val="0"/>
          <w:sz w:val="23"/>
          <w:szCs w:val="23"/>
        </w:rPr>
        <w:t xml:space="preserve"> and hosted by Queensland University of Technology Graduate School of Business (the “</w:t>
      </w:r>
      <w:proofErr w:type="spellStart"/>
      <w:r w:rsidRPr="00CF7116">
        <w:rPr>
          <w:rFonts w:ascii="Tahoma" w:eastAsia="宋体" w:hAnsi="Tahoma" w:cs="Tahoma"/>
          <w:color w:val="404F5D"/>
          <w:kern w:val="0"/>
          <w:sz w:val="23"/>
          <w:szCs w:val="23"/>
        </w:rPr>
        <w:t>Organisers</w:t>
      </w:r>
      <w:proofErr w:type="spellEnd"/>
      <w:r w:rsidRPr="00CF7116">
        <w:rPr>
          <w:rFonts w:ascii="Tahoma" w:eastAsia="宋体" w:hAnsi="Tahoma" w:cs="Tahoma"/>
          <w:color w:val="404F5D"/>
          <w:kern w:val="0"/>
          <w:sz w:val="23"/>
          <w:szCs w:val="23"/>
        </w:rPr>
        <w: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The </w:t>
      </w:r>
      <w:proofErr w:type="spellStart"/>
      <w:r w:rsidRPr="00CF7116">
        <w:rPr>
          <w:rFonts w:ascii="Tahoma" w:eastAsia="宋体" w:hAnsi="Tahoma" w:cs="Tahoma"/>
          <w:color w:val="404F5D"/>
          <w:kern w:val="0"/>
          <w:sz w:val="24"/>
          <w:szCs w:val="24"/>
        </w:rPr>
        <w:t>organisation</w:t>
      </w:r>
      <w:proofErr w:type="spellEnd"/>
      <w:r w:rsidRPr="00CF7116">
        <w:rPr>
          <w:rFonts w:ascii="Tahoma" w:eastAsia="宋体" w:hAnsi="Tahoma" w:cs="Tahoma"/>
          <w:color w:val="404F5D"/>
          <w:kern w:val="0"/>
          <w:sz w:val="24"/>
          <w:szCs w:val="24"/>
        </w:rPr>
        <w:t xml:space="preserve"> of the G20 GBC is aided by the support of an Advisory Board which includes representatives of the partner institutions and government, in addition to a Technical Advisory Committee of pre-eminent experts as well as student volunteers.</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1.     ELIGIBILITY</w:t>
      </w:r>
    </w:p>
    <w:p w:rsidR="00CF7116" w:rsidRPr="00CF7116" w:rsidRDefault="00CF7116" w:rsidP="00CF7116">
      <w:pPr>
        <w:widowControl/>
        <w:shd w:val="clear" w:color="auto" w:fill="FFFFFF"/>
        <w:spacing w:before="300" w:after="150"/>
        <w:jc w:val="left"/>
        <w:outlineLvl w:val="2"/>
        <w:rPr>
          <w:rFonts w:ascii="Arial" w:eastAsia="宋体" w:hAnsi="Arial" w:cs="Arial"/>
          <w:color w:val="404F5D"/>
          <w:kern w:val="0"/>
          <w:sz w:val="36"/>
          <w:szCs w:val="36"/>
        </w:rPr>
      </w:pPr>
      <w:r w:rsidRPr="00CF7116">
        <w:rPr>
          <w:rFonts w:ascii="Tahoma" w:eastAsia="宋体" w:hAnsi="Tahoma" w:cs="Tahoma"/>
          <w:b/>
          <w:bCs/>
          <w:i/>
          <w:iCs/>
          <w:color w:val="404F5D"/>
          <w:kern w:val="0"/>
          <w:sz w:val="24"/>
        </w:rPr>
        <w:t>Team Members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Participating students within a team must meet the enrolment criteria being either:</w:t>
      </w:r>
    </w:p>
    <w:p w:rsidR="00CF7116" w:rsidRPr="00CF7116" w:rsidRDefault="00CF7116" w:rsidP="00CF7116">
      <w:pPr>
        <w:widowControl/>
        <w:numPr>
          <w:ilvl w:val="0"/>
          <w:numId w:val="1"/>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Currently enrolled in an eligible program of study OR</w:t>
      </w:r>
    </w:p>
    <w:p w:rsidR="00CF7116" w:rsidRPr="00CF7116" w:rsidRDefault="00CF7116" w:rsidP="00CF7116">
      <w:pPr>
        <w:widowControl/>
        <w:numPr>
          <w:ilvl w:val="0"/>
          <w:numId w:val="1"/>
        </w:numPr>
        <w:shd w:val="clear" w:color="auto" w:fill="FFFFFF"/>
        <w:spacing w:before="100" w:beforeAutospacing="1" w:after="100" w:afterAutospacing="1" w:line="300" w:lineRule="atLeast"/>
        <w:jc w:val="left"/>
        <w:rPr>
          <w:rFonts w:ascii="Arial" w:eastAsia="宋体" w:hAnsi="Arial" w:cs="Arial"/>
          <w:color w:val="404F5D"/>
          <w:kern w:val="0"/>
          <w:szCs w:val="21"/>
        </w:rPr>
      </w:pPr>
      <w:proofErr w:type="gramStart"/>
      <w:r w:rsidRPr="00CF7116">
        <w:rPr>
          <w:rFonts w:ascii="Tahoma" w:eastAsia="宋体" w:hAnsi="Tahoma" w:cs="Tahoma"/>
          <w:color w:val="404F5D"/>
          <w:kern w:val="0"/>
          <w:sz w:val="24"/>
          <w:szCs w:val="24"/>
        </w:rPr>
        <w:t>have</w:t>
      </w:r>
      <w:proofErr w:type="gramEnd"/>
      <w:r w:rsidRPr="00CF7116">
        <w:rPr>
          <w:rFonts w:ascii="Tahoma" w:eastAsia="宋体" w:hAnsi="Tahoma" w:cs="Tahoma"/>
          <w:color w:val="404F5D"/>
          <w:kern w:val="0"/>
          <w:sz w:val="24"/>
          <w:szCs w:val="24"/>
        </w:rPr>
        <w:t xml:space="preserve"> been enrolled in an eligible program of study as at November 2013.</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An eligible program is any business or technical discipline based postgraduate program of study (such as MBA, Masters Degrees or other relevant post-graduate degree programs in business or technical disciplines).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Proposed team members not meeting these criteria may only participate with special permission of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w:t>
      </w:r>
    </w:p>
    <w:p w:rsidR="00CF7116" w:rsidRPr="00CF7116" w:rsidRDefault="00CF7116" w:rsidP="00CF7116">
      <w:pPr>
        <w:widowControl/>
        <w:shd w:val="clear" w:color="auto" w:fill="FFFFFF"/>
        <w:spacing w:before="300" w:after="150"/>
        <w:jc w:val="left"/>
        <w:outlineLvl w:val="2"/>
        <w:rPr>
          <w:rFonts w:ascii="Arial" w:eastAsia="宋体" w:hAnsi="Arial" w:cs="Arial"/>
          <w:color w:val="404F5D"/>
          <w:kern w:val="0"/>
          <w:sz w:val="36"/>
          <w:szCs w:val="36"/>
        </w:rPr>
      </w:pPr>
      <w:r w:rsidRPr="00CF7116">
        <w:rPr>
          <w:rFonts w:ascii="Tahoma" w:eastAsia="宋体" w:hAnsi="Tahoma" w:cs="Tahoma"/>
          <w:b/>
          <w:bCs/>
          <w:i/>
          <w:iCs/>
          <w:color w:val="404F5D"/>
          <w:kern w:val="0"/>
          <w:sz w:val="24"/>
        </w:rPr>
        <w:t>Team Composition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 membership shall comprise a minimum of two (2) student members and a maximum of four (4) student members.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 membership will comprise a multidisciplinary mix of</w:t>
      </w:r>
      <w:proofErr w:type="gramStart"/>
      <w:r w:rsidRPr="00CF7116">
        <w:rPr>
          <w:rFonts w:ascii="Tahoma" w:eastAsia="宋体" w:hAnsi="Tahoma" w:cs="Tahoma"/>
          <w:color w:val="404F5D"/>
          <w:kern w:val="0"/>
          <w:sz w:val="24"/>
          <w:szCs w:val="24"/>
        </w:rPr>
        <w:t>  a</w:t>
      </w:r>
      <w:proofErr w:type="gramEnd"/>
      <w:r w:rsidRPr="00CF7116">
        <w:rPr>
          <w:rFonts w:ascii="Tahoma" w:eastAsia="宋体" w:hAnsi="Tahoma" w:cs="Tahoma"/>
          <w:color w:val="404F5D"/>
          <w:kern w:val="0"/>
          <w:sz w:val="24"/>
          <w:szCs w:val="24"/>
        </w:rPr>
        <w:t xml:space="preserve"> maximum four postgraduate students from any combination of business and/or technical disciplines. However, for teams to be as competitive as possible we strongly encourage a multidisciplinary approach with teams comprising students across both areas of expertise where possible.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lastRenderedPageBreak/>
        <w:t xml:space="preserve">A student alternate may be included as a fifth member of the team. The alternate may only participate for his/her team in extenuating circumstances (such as illness) and with the approval of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2.     COLLABORATION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Teams are encouraged to collaborate to the extent necessary to ensure they have designed a proposed solution of maximum impact related to the stated challenge.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This collaboration may be achieved in a number of ways:</w:t>
      </w:r>
    </w:p>
    <w:p w:rsidR="00CF7116" w:rsidRPr="00CF7116" w:rsidRDefault="00CF7116" w:rsidP="00CF7116">
      <w:pPr>
        <w:widowControl/>
        <w:numPr>
          <w:ilvl w:val="0"/>
          <w:numId w:val="2"/>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Teams may include eligible students from multiple universities or graduate business schools</w:t>
      </w:r>
    </w:p>
    <w:p w:rsidR="00CF7116" w:rsidRPr="00CF7116" w:rsidRDefault="00CF7116" w:rsidP="00CF7116">
      <w:pPr>
        <w:widowControl/>
        <w:numPr>
          <w:ilvl w:val="0"/>
          <w:numId w:val="3"/>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Teams may have a coach</w:t>
      </w:r>
    </w:p>
    <w:p w:rsidR="00CF7116" w:rsidRPr="00CF7116" w:rsidRDefault="00CF7116" w:rsidP="00CF7116">
      <w:pPr>
        <w:widowControl/>
        <w:numPr>
          <w:ilvl w:val="0"/>
          <w:numId w:val="4"/>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Teams may have one or more mentors as technical or business experts</w:t>
      </w:r>
    </w:p>
    <w:p w:rsidR="00CF7116" w:rsidRPr="00CF7116" w:rsidRDefault="00CF7116" w:rsidP="00CF7116">
      <w:pPr>
        <w:widowControl/>
        <w:numPr>
          <w:ilvl w:val="0"/>
          <w:numId w:val="5"/>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Teams may include one or more technology solutions from one or more </w:t>
      </w:r>
      <w:proofErr w:type="spellStart"/>
      <w:r w:rsidRPr="00CF7116">
        <w:rPr>
          <w:rFonts w:ascii="Tahoma" w:eastAsia="宋体" w:hAnsi="Tahoma" w:cs="Tahoma"/>
          <w:color w:val="404F5D"/>
          <w:kern w:val="0"/>
          <w:sz w:val="24"/>
          <w:szCs w:val="24"/>
        </w:rPr>
        <w:t>organisations</w:t>
      </w:r>
      <w:proofErr w:type="spellEnd"/>
      <w:r w:rsidRPr="00CF7116">
        <w:rPr>
          <w:rFonts w:ascii="Tahoma" w:eastAsia="宋体" w:hAnsi="Tahoma" w:cs="Tahoma"/>
          <w:color w:val="404F5D"/>
          <w:kern w:val="0"/>
          <w:sz w:val="24"/>
          <w:szCs w:val="24"/>
        </w:rPr>
        <w:t xml:space="preserve"> including universities, research </w:t>
      </w:r>
      <w:proofErr w:type="spellStart"/>
      <w:r w:rsidRPr="00CF7116">
        <w:rPr>
          <w:rFonts w:ascii="Tahoma" w:eastAsia="宋体" w:hAnsi="Tahoma" w:cs="Tahoma"/>
          <w:color w:val="404F5D"/>
          <w:kern w:val="0"/>
          <w:sz w:val="24"/>
          <w:szCs w:val="24"/>
        </w:rPr>
        <w:t>organisation</w:t>
      </w:r>
      <w:proofErr w:type="spellEnd"/>
      <w:r w:rsidRPr="00CF7116">
        <w:rPr>
          <w:rFonts w:ascii="Tahoma" w:eastAsia="宋体" w:hAnsi="Tahoma" w:cs="Tahoma"/>
          <w:color w:val="404F5D"/>
          <w:kern w:val="0"/>
          <w:sz w:val="24"/>
          <w:szCs w:val="24"/>
        </w:rPr>
        <w:t xml:space="preserve"> or industry </w:t>
      </w:r>
      <w:proofErr w:type="spellStart"/>
      <w:r w:rsidRPr="00CF7116">
        <w:rPr>
          <w:rFonts w:ascii="Tahoma" w:eastAsia="宋体" w:hAnsi="Tahoma" w:cs="Tahoma"/>
          <w:color w:val="404F5D"/>
          <w:kern w:val="0"/>
          <w:sz w:val="24"/>
          <w:szCs w:val="24"/>
        </w:rPr>
        <w:t>organisations</w:t>
      </w:r>
      <w:proofErr w:type="spellEnd"/>
      <w:r w:rsidRPr="00CF7116">
        <w:rPr>
          <w:rFonts w:ascii="Tahoma" w:eastAsia="宋体" w:hAnsi="Tahoma" w:cs="Tahoma"/>
          <w:color w:val="404F5D"/>
          <w:kern w:val="0"/>
          <w:sz w:val="24"/>
          <w:szCs w:val="24"/>
        </w:rPr>
        <w:t>. </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However, in order to maintain the integrity of the competition, collaborators are limited to providing expert business or technical guidance or advice and other similar indirect assistance and are NOT permitted to assist in authoring or directly preparing any material submitted by Teams for judging in the competition.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Any team not adhering to these limitations on collaboration may be deemed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as having breached the competition Code of Conduct resulting in disqualification in not adhering to the spirit of the competition.</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3.     THE CHALLENGE BRIEF</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Subsequent to registration, Teams shall be provided with a Challenge Brief.</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challenge brief is a practical guide to teams to assist with:</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 member selection</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Approaches to collaboration</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Selection of technologies for inclusion in solution design</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Solution design considerations</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About the Challenge for 2014</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Round 1 submission material</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Round 2 submission material</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lastRenderedPageBreak/>
        <w:t>Judging Criteria</w:t>
      </w:r>
    </w:p>
    <w:p w:rsidR="00CF7116" w:rsidRPr="00CF7116" w:rsidRDefault="00CF7116" w:rsidP="00CF7116">
      <w:pPr>
        <w:widowControl/>
        <w:numPr>
          <w:ilvl w:val="0"/>
          <w:numId w:val="6"/>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Judging process</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4.     COMPETITION FORMAT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G20 GBC competition format comprises two competition rounds: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proofErr w:type="gramStart"/>
      <w:r w:rsidRPr="00CF7116">
        <w:rPr>
          <w:rFonts w:ascii="Tahoma" w:eastAsia="宋体" w:hAnsi="Tahoma" w:cs="Tahoma"/>
          <w:b/>
          <w:bCs/>
          <w:i/>
          <w:iCs/>
          <w:color w:val="404F5D"/>
          <w:kern w:val="0"/>
          <w:sz w:val="24"/>
          <w:szCs w:val="24"/>
        </w:rPr>
        <w:t>Round 1 - Virtual Elimination Round.</w:t>
      </w:r>
      <w:proofErr w:type="gramEnd"/>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Teams are required to prepare a </w:t>
      </w:r>
      <w:r w:rsidRPr="00CF7116">
        <w:rPr>
          <w:rFonts w:ascii="Tahoma" w:eastAsia="宋体" w:hAnsi="Tahoma" w:cs="Tahoma"/>
          <w:b/>
          <w:bCs/>
          <w:color w:val="404F5D"/>
          <w:kern w:val="0"/>
          <w:sz w:val="24"/>
          <w:szCs w:val="24"/>
        </w:rPr>
        <w:t>5 page Executive Summary</w:t>
      </w:r>
      <w:r w:rsidRPr="00CF7116">
        <w:rPr>
          <w:rFonts w:ascii="Tahoma" w:eastAsia="宋体" w:hAnsi="Tahoma" w:cs="Tahoma"/>
          <w:color w:val="404F5D"/>
          <w:kern w:val="0"/>
          <w:sz w:val="24"/>
          <w:szCs w:val="24"/>
        </w:rPr>
        <w:t> and </w:t>
      </w:r>
      <w:r w:rsidRPr="00CF7116">
        <w:rPr>
          <w:rFonts w:ascii="Tahoma" w:eastAsia="宋体" w:hAnsi="Tahoma" w:cs="Tahoma"/>
          <w:b/>
          <w:bCs/>
          <w:color w:val="404F5D"/>
          <w:kern w:val="0"/>
          <w:sz w:val="24"/>
          <w:szCs w:val="24"/>
        </w:rPr>
        <w:t>video presentation</w:t>
      </w:r>
      <w:r w:rsidRPr="00CF7116">
        <w:rPr>
          <w:rFonts w:ascii="Tahoma" w:eastAsia="宋体" w:hAnsi="Tahoma" w:cs="Tahoma"/>
          <w:color w:val="404F5D"/>
          <w:kern w:val="0"/>
          <w:sz w:val="24"/>
          <w:szCs w:val="24"/>
        </w:rPr>
        <w:t> of their proposed solution that addresses the Challenge.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Video presentations and Executive Summary are:</w:t>
      </w:r>
    </w:p>
    <w:p w:rsidR="00CF7116" w:rsidRPr="00CF7116" w:rsidRDefault="00CF7116" w:rsidP="00CF7116">
      <w:pPr>
        <w:widowControl/>
        <w:numPr>
          <w:ilvl w:val="0"/>
          <w:numId w:val="7"/>
        </w:numPr>
        <w:shd w:val="clear" w:color="auto" w:fill="FFFFFF"/>
        <w:spacing w:before="100" w:beforeAutospacing="1" w:after="100" w:afterAutospacing="1"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to be a maximum of 15 minutes in duration</w:t>
      </w:r>
    </w:p>
    <w:p w:rsidR="00CF7116" w:rsidRPr="00CF7116" w:rsidRDefault="00CF7116" w:rsidP="00CF7116">
      <w:pPr>
        <w:widowControl/>
        <w:numPr>
          <w:ilvl w:val="0"/>
          <w:numId w:val="7"/>
        </w:numPr>
        <w:shd w:val="clear" w:color="auto" w:fill="FFFFFF"/>
        <w:spacing w:before="100" w:beforeAutospacing="1" w:after="100" w:afterAutospacing="1" w:line="300" w:lineRule="atLeast"/>
        <w:jc w:val="left"/>
        <w:rPr>
          <w:rFonts w:ascii="Arial" w:eastAsia="宋体" w:hAnsi="Arial" w:cs="Arial"/>
          <w:color w:val="404F5D"/>
          <w:kern w:val="0"/>
          <w:szCs w:val="21"/>
        </w:rPr>
      </w:pPr>
      <w:proofErr w:type="gramStart"/>
      <w:r w:rsidRPr="00CF7116">
        <w:rPr>
          <w:rFonts w:ascii="Tahoma" w:eastAsia="宋体" w:hAnsi="Tahoma" w:cs="Tahoma"/>
          <w:color w:val="404F5D"/>
          <w:kern w:val="0"/>
          <w:sz w:val="24"/>
          <w:szCs w:val="24"/>
        </w:rPr>
        <w:t>to</w:t>
      </w:r>
      <w:proofErr w:type="gramEnd"/>
      <w:r w:rsidRPr="00CF7116">
        <w:rPr>
          <w:rFonts w:ascii="Tahoma" w:eastAsia="宋体" w:hAnsi="Tahoma" w:cs="Tahoma"/>
          <w:color w:val="404F5D"/>
          <w:kern w:val="0"/>
          <w:sz w:val="24"/>
          <w:szCs w:val="24"/>
        </w:rPr>
        <w:t xml:space="preserve"> be uploaded to a nominated ‘drop box’ account to be provided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to each team.</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Presentations will be placed on a YouTube G20GBC channel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for the judge’s secure access. The Executive Summary is to be a maximum of 5 A4 pages (1.5 line spacing, 12 point Times Roman font). The Executive Summary is to include the URL link to the YouTube video.</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As judging for Round 1 is a blind judging process, both the Executive Summary and the video presentation are to have no identifiers as to sponsoring university name or names of individual team members. Teams are to reference the Team Identification Number provided in the registration process.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Subsequent to completion of Round 2 judging all team submissions from Round 1 and Round 2 will be placed on the Team profile page for public access.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b/>
          <w:bCs/>
          <w:color w:val="404F5D"/>
          <w:kern w:val="0"/>
          <w:sz w:val="24"/>
          <w:szCs w:val="24"/>
        </w:rPr>
        <w:t>Round 2: Finals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judging panel will select six (6) teams to be represented at the finals.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Finals will be conducted in Brisbane and will comprise an intensive 2 day lock-in phase.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At the commencement of the lock-in period, finalist teams will be provided a defined series of constraints in relation to their proposed solution and which represent scenarios that may limit or otherwise impact the adoption of the proposed solution. These constraints may represent a series of technological, regional, industry, environmental, regulatory, market or other constraints that in the opinion of the technical committee may impact the implementation of their solution.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During the 2-day lock-in phase, teams will develop a 50 page (maximum) Implementation Plan and prepare a Board-level presentation.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lastRenderedPageBreak/>
        <w:t>Teams will be provided with four (4) laptop computers per team. Teams may also use their own laptops if desired.</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In order to </w:t>
      </w:r>
      <w:proofErr w:type="spellStart"/>
      <w:r w:rsidRPr="00CF7116">
        <w:rPr>
          <w:rFonts w:ascii="Tahoma" w:eastAsia="宋体" w:hAnsi="Tahoma" w:cs="Tahoma"/>
          <w:color w:val="404F5D"/>
          <w:kern w:val="0"/>
          <w:sz w:val="24"/>
          <w:szCs w:val="24"/>
        </w:rPr>
        <w:t>maximise</w:t>
      </w:r>
      <w:proofErr w:type="spellEnd"/>
      <w:r w:rsidRPr="00CF7116">
        <w:rPr>
          <w:rFonts w:ascii="Tahoma" w:eastAsia="宋体" w:hAnsi="Tahoma" w:cs="Tahoma"/>
          <w:color w:val="404F5D"/>
          <w:kern w:val="0"/>
          <w:sz w:val="24"/>
          <w:szCs w:val="24"/>
        </w:rPr>
        <w:t xml:space="preserve"> the real-world nature of the competition as well as the desire to ensure proposed solutions are of the highest quality possible, Teams will have full Internet access and may communicate with any collaborator. Teams may bring into the preparation rooms pre-prepared material and/or research material on USB drives.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In the spirit of the competition team MUST NOT have any collaborator directly involved in the direct authoring of the implementation plan or presentation. Such interaction is to be limited to the provision of advice of either a business, financial or technical nature only. Any evidence of direct authoring of the implementation plan or presentation will be deemed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to be contrary to the spirit of the competition and in contravention of the </w:t>
      </w:r>
      <w:proofErr w:type="gramStart"/>
      <w:r w:rsidRPr="00CF7116">
        <w:rPr>
          <w:rFonts w:ascii="Tahoma" w:eastAsia="宋体" w:hAnsi="Tahoma" w:cs="Tahoma"/>
          <w:color w:val="404F5D"/>
          <w:kern w:val="0"/>
          <w:sz w:val="24"/>
          <w:szCs w:val="24"/>
        </w:rPr>
        <w:t>teams</w:t>
      </w:r>
      <w:proofErr w:type="gramEnd"/>
      <w:r w:rsidRPr="00CF7116">
        <w:rPr>
          <w:rFonts w:ascii="Tahoma" w:eastAsia="宋体" w:hAnsi="Tahoma" w:cs="Tahoma"/>
          <w:color w:val="404F5D"/>
          <w:kern w:val="0"/>
          <w:sz w:val="24"/>
          <w:szCs w:val="24"/>
        </w:rPr>
        <w:t xml:space="preserve"> competition Code of Conduct. In such circumstance the team may face disqualification from the competition. </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At the end of the preparation time, Teams will copy all presentation material to two (2) USB flash drives provided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Note that the USB drives will not be returned to the teams. A copy of the presentation files will be emailed to the coaches at the conclusion of the event.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presentation files will be provided to the judges in both soft and hard copy formats.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The implementation plan and the Presentation </w:t>
      </w:r>
      <w:proofErr w:type="gramStart"/>
      <w:r w:rsidRPr="00CF7116">
        <w:rPr>
          <w:rFonts w:ascii="Tahoma" w:eastAsia="宋体" w:hAnsi="Tahoma" w:cs="Tahoma"/>
          <w:color w:val="404F5D"/>
          <w:kern w:val="0"/>
          <w:sz w:val="24"/>
          <w:szCs w:val="24"/>
        </w:rPr>
        <w:t>is</w:t>
      </w:r>
      <w:proofErr w:type="gramEnd"/>
      <w:r w:rsidRPr="00CF7116">
        <w:rPr>
          <w:rFonts w:ascii="Tahoma" w:eastAsia="宋体" w:hAnsi="Tahoma" w:cs="Tahoma"/>
          <w:color w:val="404F5D"/>
          <w:kern w:val="0"/>
          <w:sz w:val="24"/>
          <w:szCs w:val="24"/>
        </w:rPr>
        <w:t xml:space="preserve"> to be submitted by 6pm on Day 2 of the Lock-in.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Presentations to the judging panel shall be 20 minutes in duration with a 30 Minute Q&amp;A.</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5.     JUDGING</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Judges are members of the Australian and global business community as well as financial and technical experts selected by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and the advisory board.</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judging panel will be comprised of different judges for each round of the competition.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technical components for each round will be assessed by members of a technical committee who will have domain expertise in the Teams’ proposed technology inclusions within their proposed solution.  Recommendations will be made to the judging panel with regard to technical merit for the stated purpose and achievability. However, such assessment is in accordance to the judging criteria and should NOT be regarded as a technical due diligence assessment.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lastRenderedPageBreak/>
        <w:t xml:space="preserve">Judging for Round 1 is a blind judging process. Teams are to ensure they remove all reference to their University and names of any of the team members in their presentation. Teams who do not remove all such references will be </w:t>
      </w:r>
      <w:proofErr w:type="spellStart"/>
      <w:r w:rsidRPr="00CF7116">
        <w:rPr>
          <w:rFonts w:ascii="Tahoma" w:eastAsia="宋体" w:hAnsi="Tahoma" w:cs="Tahoma"/>
          <w:color w:val="404F5D"/>
          <w:kern w:val="0"/>
          <w:sz w:val="24"/>
          <w:szCs w:val="24"/>
        </w:rPr>
        <w:t>penalised</w:t>
      </w:r>
      <w:proofErr w:type="spellEnd"/>
      <w:r w:rsidRPr="00CF7116">
        <w:rPr>
          <w:rFonts w:ascii="Tahoma" w:eastAsia="宋体" w:hAnsi="Tahoma" w:cs="Tahoma"/>
          <w:color w:val="404F5D"/>
          <w:kern w:val="0"/>
          <w:sz w:val="24"/>
          <w:szCs w:val="24"/>
        </w:rPr>
        <w:t xml:space="preserve"> 10% of the assessment score.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Round 2 (Finals) requires assessment of the technical, business and finance models underpinning a </w:t>
      </w:r>
      <w:proofErr w:type="spellStart"/>
      <w:r w:rsidRPr="00CF7116">
        <w:rPr>
          <w:rFonts w:ascii="Tahoma" w:eastAsia="宋体" w:hAnsi="Tahoma" w:cs="Tahoma"/>
          <w:color w:val="404F5D"/>
          <w:kern w:val="0"/>
          <w:sz w:val="24"/>
          <w:szCs w:val="24"/>
        </w:rPr>
        <w:t>teams</w:t>
      </w:r>
      <w:proofErr w:type="spellEnd"/>
      <w:r w:rsidRPr="00CF7116">
        <w:rPr>
          <w:rFonts w:ascii="Tahoma" w:eastAsia="宋体" w:hAnsi="Tahoma" w:cs="Tahoma"/>
          <w:color w:val="404F5D"/>
          <w:kern w:val="0"/>
          <w:sz w:val="24"/>
          <w:szCs w:val="24"/>
        </w:rPr>
        <w:t xml:space="preserve"> proposed solution. This will be judged from the two deliverables by Teams: the Implementation Plan and the Presentation.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Chair of the judging panel will chair the question period, lead the deliberations, cast the decisive vote in the event of a split panel and prepare an evaluation sheet for each team’s confidential use once the result has been determined.</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The chairman shall not score teams unless in the event of a tie.</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A copy of Judging Criteria will be provided to each team as part of the briefing material subsequent to registration.</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b/>
          <w:bCs/>
          <w:i/>
          <w:iCs/>
          <w:color w:val="404F5D"/>
          <w:kern w:val="0"/>
          <w:sz w:val="24"/>
          <w:szCs w:val="24"/>
        </w:rPr>
        <w:t>Tie Breaking</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In the event two teams have the same scores at the conclusion of Round 2 then a combined score to include Round 1 scores may be taken into account.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In the event a tie remains after taking into both Round 1 and Round 2 scores the Chairman shall have the casting vote.</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6.     INTELLECTUAL PROPERTY</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Entrants are not required to be the original creators, inventors, or owners of the intellectual property underlying their proposed solutions. However, teams that rely on intellectual property that has been created or invented or is owned by a third party (“Third-Party IP”) must demonstrate that they have obtained written permission from any such third party to use the Third-Party IP as a basis to support their proposed solution before 13 June, 2014. Such permission should include not only the general right to rely on the Third-Party IP as a basis for the teams proposed solution, but should also include the right to reference or reproduce any figures, images, etc., that are included in the business plan. Full attribution should be given whenever an entrant relies on any Third-Party IP.</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Such reliance of information provided by Third-Party IP Providers to Teams does NOT confer on the Team members, their host </w:t>
      </w:r>
      <w:proofErr w:type="spellStart"/>
      <w:r w:rsidRPr="00CF7116">
        <w:rPr>
          <w:rFonts w:ascii="Tahoma" w:eastAsia="宋体" w:hAnsi="Tahoma" w:cs="Tahoma"/>
          <w:color w:val="404F5D"/>
          <w:kern w:val="0"/>
          <w:sz w:val="24"/>
          <w:szCs w:val="24"/>
        </w:rPr>
        <w:t>organisation</w:t>
      </w:r>
      <w:proofErr w:type="spellEnd"/>
      <w:r w:rsidRPr="00CF7116">
        <w:rPr>
          <w:rFonts w:ascii="Tahoma" w:eastAsia="宋体" w:hAnsi="Tahoma" w:cs="Tahoma"/>
          <w:color w:val="404F5D"/>
          <w:kern w:val="0"/>
          <w:sz w:val="24"/>
          <w:szCs w:val="24"/>
        </w:rPr>
        <w:t xml:space="preserve">(s) and any other person or </w:t>
      </w:r>
      <w:proofErr w:type="spellStart"/>
      <w:r w:rsidRPr="00CF7116">
        <w:rPr>
          <w:rFonts w:ascii="Tahoma" w:eastAsia="宋体" w:hAnsi="Tahoma" w:cs="Tahoma"/>
          <w:color w:val="404F5D"/>
          <w:kern w:val="0"/>
          <w:sz w:val="24"/>
          <w:szCs w:val="24"/>
        </w:rPr>
        <w:t>organisation</w:t>
      </w:r>
      <w:proofErr w:type="spellEnd"/>
      <w:r w:rsidRPr="00CF7116">
        <w:rPr>
          <w:rFonts w:ascii="Tahoma" w:eastAsia="宋体" w:hAnsi="Tahoma" w:cs="Tahoma"/>
          <w:color w:val="404F5D"/>
          <w:kern w:val="0"/>
          <w:sz w:val="24"/>
          <w:szCs w:val="24"/>
        </w:rPr>
        <w:t xml:space="preserve">, or the G20 GBC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any other rights to that IP whatsoever. </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Original work developed by teams (excluding any Third Party IP Rights) in preparing their proposed solution is to be made freely available to team collaborators.</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lastRenderedPageBreak/>
        <w:t>7.     FEES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Team Registration:</w:t>
      </w:r>
      <w:r w:rsidRPr="00CF7116">
        <w:rPr>
          <w:rFonts w:ascii="Tahoma" w:eastAsia="宋体" w:hAnsi="Tahoma" w:cs="Tahoma"/>
          <w:b/>
          <w:bCs/>
          <w:color w:val="404F5D"/>
          <w:kern w:val="0"/>
          <w:sz w:val="24"/>
          <w:szCs w:val="24"/>
        </w:rPr>
        <w:t>      NO COST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Technology providers (per technology):       </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For technology providers who wish to only promote their technology to prospective teams for consideration for inclusion in a teams' prospective solution - NO COST.</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For technology providers who wish to also promote their technology to the broader business communities, G20 audience and the public - </w:t>
      </w:r>
      <w:r w:rsidRPr="00CF7116">
        <w:rPr>
          <w:rFonts w:ascii="Tahoma" w:eastAsia="宋体" w:hAnsi="Tahoma" w:cs="Tahoma"/>
          <w:b/>
          <w:bCs/>
          <w:color w:val="404F5D"/>
          <w:kern w:val="0"/>
          <w:sz w:val="24"/>
          <w:szCs w:val="24"/>
        </w:rPr>
        <w:t>$AU 250</w:t>
      </w:r>
      <w:r w:rsidRPr="00CF7116">
        <w:rPr>
          <w:rFonts w:ascii="Tahoma" w:eastAsia="宋体" w:hAnsi="Tahoma" w:cs="Tahoma"/>
          <w:color w:val="404F5D"/>
          <w:kern w:val="0"/>
          <w:sz w:val="24"/>
          <w:szCs w:val="24"/>
        </w:rPr>
        <w:t> per technology. This includes a link to a 3 minute technology brief video presentation to be uploaded on YouTube.</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8.     FINANCIAL ASSISTANCE FOR FINALIST TEAMS</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404F5D"/>
          <w:kern w:val="0"/>
          <w:sz w:val="24"/>
          <w:szCs w:val="24"/>
        </w:rPr>
        <w:t>Non-Australian teams selected for the finals shall be eligible for financial assistance towards airfares up to the value of $US 10,000 per team.</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9.     GENERAL</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xml:space="preserve"> The Competition is intended to </w:t>
      </w:r>
      <w:proofErr w:type="spellStart"/>
      <w:r w:rsidRPr="00CF7116">
        <w:rPr>
          <w:rFonts w:ascii="Tahoma" w:eastAsia="宋体" w:hAnsi="Tahoma" w:cs="Tahoma"/>
          <w:color w:val="404F5D"/>
          <w:kern w:val="0"/>
          <w:sz w:val="24"/>
          <w:szCs w:val="24"/>
        </w:rPr>
        <w:t>fulfil</w:t>
      </w:r>
      <w:proofErr w:type="spellEnd"/>
      <w:r w:rsidRPr="00CF7116">
        <w:rPr>
          <w:rFonts w:ascii="Tahoma" w:eastAsia="宋体" w:hAnsi="Tahoma" w:cs="Tahoma"/>
          <w:color w:val="404F5D"/>
          <w:kern w:val="0"/>
          <w:sz w:val="24"/>
          <w:szCs w:val="24"/>
        </w:rPr>
        <w:t xml:space="preserve"> two objectives; identify real potential implementable solutions to a global business challenge as well as providing a learning experience for the students that will encourage healthy competition, professionalism and interaction by our future business leaders, both amongst themselves and with the business community. The rules and guidelines are not all encompassing and situations may arise that have not been covered. It is the expectation of the </w:t>
      </w:r>
      <w:proofErr w:type="spellStart"/>
      <w:r w:rsidRPr="00CF7116">
        <w:rPr>
          <w:rFonts w:ascii="Tahoma" w:eastAsia="宋体" w:hAnsi="Tahoma" w:cs="Tahoma"/>
          <w:color w:val="404F5D"/>
          <w:kern w:val="0"/>
          <w:sz w:val="24"/>
          <w:szCs w:val="24"/>
        </w:rPr>
        <w:t>organisers</w:t>
      </w:r>
      <w:proofErr w:type="spellEnd"/>
      <w:r w:rsidRPr="00CF7116">
        <w:rPr>
          <w:rFonts w:ascii="Tahoma" w:eastAsia="宋体" w:hAnsi="Tahoma" w:cs="Tahoma"/>
          <w:color w:val="404F5D"/>
          <w:kern w:val="0"/>
          <w:sz w:val="24"/>
          <w:szCs w:val="24"/>
        </w:rPr>
        <w:t xml:space="preserve"> and of the advisory board that any issues or disputes will be resolved in the spirit of the Competition.</w:t>
      </w:r>
    </w:p>
    <w:p w:rsidR="00CF7116" w:rsidRPr="00CF7116" w:rsidRDefault="00CF7116" w:rsidP="00CF7116">
      <w:pPr>
        <w:widowControl/>
        <w:shd w:val="clear" w:color="auto" w:fill="FFFFFF"/>
        <w:spacing w:before="300" w:after="150"/>
        <w:jc w:val="left"/>
        <w:outlineLvl w:val="1"/>
        <w:rPr>
          <w:rFonts w:ascii="Arial" w:eastAsia="宋体" w:hAnsi="Arial" w:cs="Arial"/>
          <w:color w:val="404F5D"/>
          <w:kern w:val="0"/>
          <w:sz w:val="45"/>
          <w:szCs w:val="45"/>
        </w:rPr>
      </w:pPr>
      <w:r w:rsidRPr="00CF7116">
        <w:rPr>
          <w:rFonts w:ascii="Tahoma" w:eastAsia="宋体" w:hAnsi="Tahoma" w:cs="Tahoma"/>
          <w:color w:val="8B4513"/>
          <w:kern w:val="0"/>
          <w:sz w:val="45"/>
          <w:szCs w:val="45"/>
        </w:rPr>
        <w:t>10.     DISPUTES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Cs w:val="21"/>
        </w:rPr>
        <w:t> </w:t>
      </w:r>
      <w:r w:rsidRPr="00CF7116">
        <w:rPr>
          <w:rFonts w:ascii="Tahoma" w:eastAsia="宋体" w:hAnsi="Tahoma" w:cs="Tahoma"/>
          <w:i/>
          <w:iCs/>
          <w:color w:val="404F5D"/>
          <w:kern w:val="0"/>
          <w:sz w:val="24"/>
          <w:szCs w:val="24"/>
        </w:rPr>
        <w:t>Any concerns or disputes regarding the implementation of these rules must be brought to the immediate attention of the organizer. In exceptional circumstances, a body made up of at least one of the organizers and the chairperson of the advisory board or his assignee and at least two other members of that board will be available to settle disputes.</w:t>
      </w:r>
    </w:p>
    <w:p w:rsidR="00CF7116" w:rsidRPr="00CF7116" w:rsidRDefault="00CF7116" w:rsidP="00CF7116">
      <w:pPr>
        <w:widowControl/>
        <w:shd w:val="clear" w:color="auto" w:fill="FFFFFF"/>
        <w:spacing w:after="150" w:line="300" w:lineRule="atLeast"/>
        <w:jc w:val="left"/>
        <w:rPr>
          <w:rFonts w:ascii="Arial" w:eastAsia="宋体" w:hAnsi="Arial" w:cs="Arial"/>
          <w:color w:val="404F5D"/>
          <w:kern w:val="0"/>
          <w:szCs w:val="21"/>
        </w:rPr>
      </w:pPr>
      <w:r w:rsidRPr="00CF7116">
        <w:rPr>
          <w:rFonts w:ascii="Tahoma" w:eastAsia="宋体" w:hAnsi="Tahoma" w:cs="Tahoma"/>
          <w:color w:val="404F5D"/>
          <w:kern w:val="0"/>
          <w:sz w:val="24"/>
          <w:szCs w:val="24"/>
        </w:rPr>
        <w:t> However, please note that </w:t>
      </w:r>
      <w:r w:rsidRPr="00CF7116">
        <w:rPr>
          <w:rFonts w:ascii="Tahoma" w:eastAsia="宋体" w:hAnsi="Tahoma" w:cs="Tahoma"/>
          <w:b/>
          <w:bCs/>
          <w:i/>
          <w:iCs/>
          <w:color w:val="404F5D"/>
          <w:kern w:val="0"/>
          <w:sz w:val="24"/>
          <w:szCs w:val="24"/>
        </w:rPr>
        <w:t>THE DECISION OF THE JUDGING PANEL IS FINAL, AND IS NOT SUBJECT TO REVIEW.</w:t>
      </w:r>
    </w:p>
    <w:p w:rsidR="002F05B4" w:rsidRPr="00CF7116" w:rsidRDefault="002F05B4"/>
    <w:sectPr w:rsidR="002F05B4" w:rsidRPr="00CF7116" w:rsidSect="002F05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0606E"/>
    <w:multiLevelType w:val="multilevel"/>
    <w:tmpl w:val="57EEB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384D45"/>
    <w:multiLevelType w:val="multilevel"/>
    <w:tmpl w:val="4DF644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6F6F4C7F"/>
    <w:multiLevelType w:val="multilevel"/>
    <w:tmpl w:val="C91E24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50E6B7B"/>
    <w:multiLevelType w:val="multilevel"/>
    <w:tmpl w:val="4BB0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2"/>
    <w:lvlOverride w:ilvl="0">
      <w:startOverride w:val="2"/>
    </w:lvlOverride>
  </w:num>
  <w:num w:numId="4">
    <w:abstractNumId w:val="2"/>
    <w:lvlOverride w:ilvl="0">
      <w:startOverride w:val="3"/>
    </w:lvlOverride>
  </w:num>
  <w:num w:numId="5">
    <w:abstractNumId w:val="2"/>
    <w:lvlOverride w:ilvl="0">
      <w:startOverride w:val="4"/>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7116"/>
    <w:rsid w:val="002F05B4"/>
    <w:rsid w:val="00CF71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5B4"/>
    <w:pPr>
      <w:widowControl w:val="0"/>
      <w:jc w:val="both"/>
    </w:pPr>
  </w:style>
  <w:style w:type="paragraph" w:styleId="2">
    <w:name w:val="heading 2"/>
    <w:basedOn w:val="a"/>
    <w:link w:val="2Char"/>
    <w:uiPriority w:val="9"/>
    <w:qFormat/>
    <w:rsid w:val="00CF7116"/>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CF7116"/>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F7116"/>
    <w:rPr>
      <w:rFonts w:ascii="宋体" w:eastAsia="宋体" w:hAnsi="宋体" w:cs="宋体"/>
      <w:b/>
      <w:bCs/>
      <w:kern w:val="0"/>
      <w:sz w:val="36"/>
      <w:szCs w:val="36"/>
    </w:rPr>
  </w:style>
  <w:style w:type="character" w:customStyle="1" w:styleId="3Char">
    <w:name w:val="标题 3 Char"/>
    <w:basedOn w:val="a0"/>
    <w:link w:val="3"/>
    <w:uiPriority w:val="9"/>
    <w:rsid w:val="00CF7116"/>
    <w:rPr>
      <w:rFonts w:ascii="宋体" w:eastAsia="宋体" w:hAnsi="宋体" w:cs="宋体"/>
      <w:b/>
      <w:bCs/>
      <w:kern w:val="0"/>
      <w:sz w:val="27"/>
      <w:szCs w:val="27"/>
    </w:rPr>
  </w:style>
  <w:style w:type="paragraph" w:styleId="a3">
    <w:name w:val="Normal (Web)"/>
    <w:basedOn w:val="a"/>
    <w:uiPriority w:val="99"/>
    <w:semiHidden/>
    <w:unhideWhenUsed/>
    <w:rsid w:val="00CF711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116"/>
    <w:rPr>
      <w:b/>
      <w:bCs/>
    </w:rPr>
  </w:style>
  <w:style w:type="character" w:styleId="a5">
    <w:name w:val="Emphasis"/>
    <w:basedOn w:val="a0"/>
    <w:uiPriority w:val="20"/>
    <w:qFormat/>
    <w:rsid w:val="00CF7116"/>
    <w:rPr>
      <w:i/>
      <w:iCs/>
    </w:rPr>
  </w:style>
</w:styles>
</file>

<file path=word/webSettings.xml><?xml version="1.0" encoding="utf-8"?>
<w:webSettings xmlns:r="http://schemas.openxmlformats.org/officeDocument/2006/relationships" xmlns:w="http://schemas.openxmlformats.org/wordprocessingml/2006/main">
  <w:divs>
    <w:div w:id="16448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1783</Words>
  <Characters>10166</Characters>
  <Application>Microsoft Office Word</Application>
  <DocSecurity>0</DocSecurity>
  <Lines>84</Lines>
  <Paragraphs>23</Paragraphs>
  <ScaleCrop>false</ScaleCrop>
  <Company>China</Company>
  <LinksUpToDate>false</LinksUpToDate>
  <CharactersWithSpaces>11926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2014-05-19T02:20:00Z</dcterms:created>
  <dcterms:modified xsi:type="dcterms:W3CDTF">2014-05-19T02:20:00Z</dcterms:modified>
</cp:coreProperties>
</file>