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480" w:leftChars="200" w:right="480" w:rightChars="200"/>
        <w:jc w:val="center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初赛文案基本要求</w:t>
      </w:r>
    </w:p>
    <w:p>
      <w:pPr>
        <w:spacing w:line="400" w:lineRule="exact"/>
        <w:ind w:firstLine="560" w:firstLineChars="20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</w:p>
    <w:p>
      <w:pPr>
        <w:tabs>
          <w:tab w:val="left" w:pos="993"/>
        </w:tabs>
        <w:spacing w:line="400" w:lineRule="exact"/>
        <w:jc w:val="both"/>
        <w:rPr>
          <w:rFonts w:ascii="仿宋" w:hAnsi="仿宋" w:eastAsia="仿宋"/>
          <w:b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bidi="en-US"/>
        </w:rPr>
        <w:t>参赛文案正文内容框架（建议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  <w:lang w:bidi="en-US"/>
        </w:rPr>
        <w:t>）</w:t>
      </w:r>
    </w:p>
    <w:p>
      <w:pPr>
        <w:tabs>
          <w:tab w:val="left" w:pos="993"/>
        </w:tabs>
        <w:spacing w:line="400" w:lineRule="exact"/>
        <w:ind w:firstLine="560" w:firstLineChars="20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各参赛队应独立编写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bidi="en-US"/>
        </w:rPr>
        <w:t>案例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和设计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bidi="en-US"/>
        </w:rPr>
        <w:t>谈判策略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，包含但不限于以下内容：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简明充分地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描述</w:t>
      </w: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案例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事件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 w:bidi="en-US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主题鲜明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；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综合涉及案例事件的双方所处态势，</w:t>
      </w: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简要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构建双方的策略集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 w:bidi="en-US"/>
        </w:rPr>
        <w:t>；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模拟立足其中一方，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目标清晰，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制定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明确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具体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的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谈判策略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；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简要总结模拟案例的关键知识点和支撑材料</w:t>
      </w:r>
    </w:p>
    <w:p>
      <w:pPr>
        <w:tabs>
          <w:tab w:val="left" w:pos="993"/>
        </w:tabs>
        <w:spacing w:line="400" w:lineRule="exact"/>
        <w:ind w:firstLine="560" w:firstLineChars="20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</w:p>
    <w:p>
      <w:pPr>
        <w:tabs>
          <w:tab w:val="left" w:pos="993"/>
        </w:tabs>
        <w:spacing w:line="400" w:lineRule="exact"/>
        <w:jc w:val="both"/>
        <w:rPr>
          <w:rFonts w:ascii="仿宋" w:hAnsi="仿宋" w:eastAsia="仿宋"/>
          <w:b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bidi="en-US"/>
        </w:rPr>
        <w:t>案例基本要求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案例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具有一定的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典型性、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代表性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新颖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性；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事件可以针对现实进行适当地改编，</w:t>
      </w: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但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需体现其关键的现实性因素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 w:bidi="en-US"/>
        </w:rPr>
        <w:t>；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案例双方角色设定要</w:t>
      </w: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具有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操作性和可行性，</w:t>
      </w: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尽可能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贴近国际商务活动的现实和实践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 w:bidi="en-US"/>
        </w:rPr>
        <w:t>；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案例中至少有一方为中方商务主体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 w:bidi="en-US"/>
        </w:rPr>
        <w:t>；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参赛文案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正文限5000字（符），务必包括案例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val="en-US" w:eastAsia="zh-CN"/>
        </w:rPr>
        <w:t>描述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谈判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策略两大部分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（注意：</w:t>
      </w:r>
      <w:r>
        <w:rPr>
          <w:rFonts w:ascii="仿宋" w:hAnsi="仿宋" w:eastAsia="仿宋"/>
          <w:color w:val="000000"/>
          <w:sz w:val="28"/>
          <w:szCs w:val="28"/>
          <w:highlight w:val="none"/>
          <w:u w:val="single"/>
        </w:rPr>
        <w:t>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>图表总数小于等于5，图表均不算字数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。图表总数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超过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5，每超1个，总字符数对应加100。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案例正文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字符超出限额，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将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酌情减分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；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所选素材要注明必要索引，</w:t>
      </w: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引文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不规范将视为抄袭。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提交案例的同时需提交正规的查重报告。查重率在30%（含）以下为合格标准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；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介于30%~50%（不含）之间的作品由函评专家综合考虑，酌情减分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；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50%（含）以上的作品将直接被淘汰；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 w:bidi="en-US"/>
        </w:rPr>
        <w:t>案例解决方案适用于国际商务实务与实践，便于模拟。</w:t>
      </w:r>
    </w:p>
    <w:p>
      <w:pPr>
        <w:spacing w:line="400" w:lineRule="exact"/>
        <w:ind w:firstLine="560" w:firstLineChars="20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</w:p>
    <w:p>
      <w:pPr>
        <w:tabs>
          <w:tab w:val="left" w:pos="993"/>
        </w:tabs>
        <w:spacing w:line="400" w:lineRule="exact"/>
        <w:jc w:val="both"/>
        <w:rPr>
          <w:rFonts w:ascii="仿宋" w:hAnsi="仿宋" w:eastAsia="仿宋"/>
          <w:b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bidi="en-US"/>
        </w:rPr>
        <w:t>案例上传文档要求</w:t>
      </w:r>
    </w:p>
    <w:p>
      <w:pPr>
        <w:pStyle w:val="9"/>
        <w:numPr>
          <w:ilvl w:val="0"/>
          <w:numId w:val="3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请务必上传word文档，</w:t>
      </w: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以便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审核篇幅和必要编辑。</w:t>
      </w:r>
    </w:p>
    <w:p>
      <w:pPr>
        <w:pStyle w:val="9"/>
        <w:numPr>
          <w:ilvl w:val="0"/>
          <w:numId w:val="3"/>
        </w:numPr>
        <w:spacing w:line="400" w:lineRule="exact"/>
        <w:ind w:firstLineChars="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文案务必匿名，</w:t>
      </w:r>
      <w:r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  <w:t>并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bidi="en-US"/>
        </w:rPr>
        <w:t>隐去可能透露参赛队信息等不公平竞赛的情节。</w:t>
      </w:r>
    </w:p>
    <w:p>
      <w:pPr>
        <w:spacing w:line="400" w:lineRule="exact"/>
        <w:ind w:firstLine="560" w:firstLineChars="200"/>
        <w:jc w:val="both"/>
        <w:rPr>
          <w:rFonts w:ascii="仿宋" w:hAnsi="仿宋" w:eastAsia="仿宋"/>
          <w:color w:val="000000"/>
          <w:sz w:val="28"/>
          <w:szCs w:val="28"/>
          <w:highlight w:val="none"/>
          <w:lang w:bidi="en-US"/>
        </w:rPr>
      </w:pPr>
    </w:p>
    <w:sectPr>
      <w:pgSz w:w="11906" w:h="16838"/>
      <w:pgMar w:top="680" w:right="1077" w:bottom="68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512B"/>
    <w:multiLevelType w:val="multilevel"/>
    <w:tmpl w:val="2331512B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7632F37"/>
    <w:multiLevelType w:val="multilevel"/>
    <w:tmpl w:val="27632F37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2571B21"/>
    <w:multiLevelType w:val="multilevel"/>
    <w:tmpl w:val="52571B21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8A"/>
    <w:rsid w:val="00037EDE"/>
    <w:rsid w:val="00050E67"/>
    <w:rsid w:val="00054C7F"/>
    <w:rsid w:val="000A3A84"/>
    <w:rsid w:val="001128F5"/>
    <w:rsid w:val="00141F2D"/>
    <w:rsid w:val="0014532E"/>
    <w:rsid w:val="001456DB"/>
    <w:rsid w:val="001F1527"/>
    <w:rsid w:val="00221C8D"/>
    <w:rsid w:val="00255AE9"/>
    <w:rsid w:val="00283F49"/>
    <w:rsid w:val="00294241"/>
    <w:rsid w:val="002B76C4"/>
    <w:rsid w:val="002E4884"/>
    <w:rsid w:val="00342146"/>
    <w:rsid w:val="004751F6"/>
    <w:rsid w:val="00476B23"/>
    <w:rsid w:val="004772EC"/>
    <w:rsid w:val="0049695E"/>
    <w:rsid w:val="004A6E70"/>
    <w:rsid w:val="004D4B1A"/>
    <w:rsid w:val="00532CC0"/>
    <w:rsid w:val="00551A1D"/>
    <w:rsid w:val="005963DF"/>
    <w:rsid w:val="006004F1"/>
    <w:rsid w:val="006403E2"/>
    <w:rsid w:val="006B06A2"/>
    <w:rsid w:val="00704799"/>
    <w:rsid w:val="00767CD0"/>
    <w:rsid w:val="007857DB"/>
    <w:rsid w:val="00800CC2"/>
    <w:rsid w:val="00845278"/>
    <w:rsid w:val="00921370"/>
    <w:rsid w:val="00930836"/>
    <w:rsid w:val="00971BF1"/>
    <w:rsid w:val="00984384"/>
    <w:rsid w:val="00A0118A"/>
    <w:rsid w:val="00A31FCF"/>
    <w:rsid w:val="00A35E8D"/>
    <w:rsid w:val="00A53DA9"/>
    <w:rsid w:val="00B6747A"/>
    <w:rsid w:val="00B90F1D"/>
    <w:rsid w:val="00BF5B0A"/>
    <w:rsid w:val="00C054EC"/>
    <w:rsid w:val="00C15D86"/>
    <w:rsid w:val="00CD3248"/>
    <w:rsid w:val="00D970E0"/>
    <w:rsid w:val="00DA7C65"/>
    <w:rsid w:val="00E461D9"/>
    <w:rsid w:val="00E83FB2"/>
    <w:rsid w:val="00EA5D7D"/>
    <w:rsid w:val="00F16704"/>
    <w:rsid w:val="00FF5437"/>
    <w:rsid w:val="00FF5A4A"/>
    <w:rsid w:val="03AE35A8"/>
    <w:rsid w:val="04E659BB"/>
    <w:rsid w:val="0B4201BD"/>
    <w:rsid w:val="121F1780"/>
    <w:rsid w:val="124D0B6D"/>
    <w:rsid w:val="1565547A"/>
    <w:rsid w:val="24032CFD"/>
    <w:rsid w:val="35215A6D"/>
    <w:rsid w:val="35BB1F19"/>
    <w:rsid w:val="3B5C005E"/>
    <w:rsid w:val="40690109"/>
    <w:rsid w:val="407C7ECD"/>
    <w:rsid w:val="41A56932"/>
    <w:rsid w:val="51C07147"/>
    <w:rsid w:val="626970F2"/>
    <w:rsid w:val="67CA3585"/>
    <w:rsid w:val="682F1F69"/>
    <w:rsid w:val="70784D07"/>
    <w:rsid w:val="796B0B88"/>
    <w:rsid w:val="7AE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495C7D-A60C-42F5-A4C9-193A82842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Lines>3</Lines>
  <Paragraphs>1</Paragraphs>
  <TotalTime>7</TotalTime>
  <ScaleCrop>false</ScaleCrop>
  <LinksUpToDate>false</LinksUpToDate>
  <CharactersWithSpaces>436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2021-12-16T07:51:00Z</dcterms:created>
  <dc:creator>yl</dc:creator>
  <cp:lastModifiedBy>婷婷（Grace）</cp:lastModifiedBy>
  <dcterms:modified xsi:type="dcterms:W3CDTF">2021-12-19T04:52:17Z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