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DEE1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重复率检测管理操作手册（导师端）</w:t>
      </w:r>
    </w:p>
    <w:p w14:paraId="0733399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登录系统</w:t>
      </w:r>
    </w:p>
    <w:p w14:paraId="6F23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登录地址：上财门户(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instrText xml:space="preserve"> HYPERLINK "http://portal.sufe.edu.cn/" </w:instrTex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http://portal.sufe.edu.cn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end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)- “管理中心”-“教学”-“研究生过程管理与质量保障系统”；或在上财门户首页搜索框直接输入“研究生过程管理与质量保障系统”。</w:t>
      </w:r>
    </w:p>
    <w:p w14:paraId="1A6EFC7D">
      <w:pPr>
        <w:jc w:val="center"/>
      </w:pPr>
      <w:r>
        <w:drawing>
          <wp:inline distT="0" distB="0" distL="0" distR="0">
            <wp:extent cx="5274310" cy="1726565"/>
            <wp:effectExtent l="0" t="0" r="2540" b="6985"/>
            <wp:docPr id="194236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6932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5856">
      <w:pPr>
        <w:jc w:val="center"/>
        <w:rPr>
          <w:rFonts w:hint="eastAsia"/>
          <w:lang w:val="en-US" w:eastAsia="zh-CN"/>
        </w:rPr>
      </w:pPr>
    </w:p>
    <w:p w14:paraId="3B2AF6F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审核</w:t>
      </w:r>
    </w:p>
    <w:p w14:paraId="237A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在顶部导航栏，点击“学位管理”，选择“论文答辩管理-答辩申请审核”，进入审核列表页面。</w:t>
      </w:r>
    </w:p>
    <w:p w14:paraId="7C1AC1E1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1522095"/>
            <wp:effectExtent l="0" t="0" r="14605" b="190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714D26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36505576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541270"/>
            <wp:effectExtent l="0" t="0" r="14605" b="1143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4D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点击【审核】按钮，查看学生答辩申请具体内容；</w:t>
      </w:r>
    </w:p>
    <w:p w14:paraId="5FA0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在页面底端设有两个审核操作按钮：</w:t>
      </w:r>
    </w:p>
    <w:p w14:paraId="73C4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【审核通过】：同意学生参加论文答辩</w:t>
      </w:r>
    </w:p>
    <w:p w14:paraId="4211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【退回至草稿】：申请内容及答辩论文还需修改，学生修改后重新提交</w:t>
      </w:r>
    </w:p>
    <w:p w14:paraId="603B69D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363" w:hanging="363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查询</w:t>
      </w:r>
    </w:p>
    <w:p w14:paraId="0814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切换学位批次、审核状态等查询条件，可查询历史申请记录，点击【搜索】按钮，完成查询。</w:t>
      </w:r>
    </w:p>
    <w:p w14:paraId="7C9B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1233170"/>
            <wp:effectExtent l="0" t="0" r="14605" b="508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FF5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</w:pPr>
    </w:p>
    <w:p w14:paraId="3DAE5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</w:p>
    <w:p w14:paraId="6E3D4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提示：在切换不同页面时，之前打开的内容都会保留。如因网络延迟导致页面响应缓慢，可以点击下图</w:t>
      </w:r>
      <w:r>
        <w:rPr>
          <w:rFonts w:hint="eastAsia" w:ascii="楷体" w:hAnsi="楷体" w:eastAsia="楷体" w:cs="楷体"/>
          <w:b/>
          <w:bCs/>
          <w:color w:val="C00000"/>
          <w:sz w:val="22"/>
          <w:szCs w:val="22"/>
          <w:lang w:val="en-US" w:eastAsia="zh-CN"/>
        </w:rPr>
        <w:t>红框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中的刷新按钮重新加载，或选择关闭当前页面后再重新打开。</w:t>
      </w:r>
    </w:p>
    <w:p w14:paraId="4034E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89955" cy="1212850"/>
            <wp:effectExtent l="0" t="0" r="10795" b="635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F7440"/>
    <w:rsid w:val="02D546A6"/>
    <w:rsid w:val="054057E7"/>
    <w:rsid w:val="183D6D9C"/>
    <w:rsid w:val="1F182561"/>
    <w:rsid w:val="1FAD4807"/>
    <w:rsid w:val="202D6E39"/>
    <w:rsid w:val="21FC3BFC"/>
    <w:rsid w:val="241F7440"/>
    <w:rsid w:val="242A4995"/>
    <w:rsid w:val="273F7D71"/>
    <w:rsid w:val="30222A1F"/>
    <w:rsid w:val="63F211BD"/>
    <w:rsid w:val="73C372CA"/>
    <w:rsid w:val="7ACC7B1F"/>
    <w:rsid w:val="7F14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366</Characters>
  <Lines>0</Lines>
  <Paragraphs>0</Paragraphs>
  <TotalTime>10</TotalTime>
  <ScaleCrop>false</ScaleCrop>
  <LinksUpToDate>false</LinksUpToDate>
  <CharactersWithSpaces>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2024-10-24T08:21:00Z</dcterms:created>
  <dc:creator>29390</dc:creator>
  <cp:lastModifiedBy>菅坤</cp:lastModifiedBy>
  <dcterms:modified xsi:type="dcterms:W3CDTF">2026-01-27T02:03:07Z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745CC81431244216823D878EF38276B2_13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